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and who this data</w:t>
      </w:r>
      <w:r w:rsidR="00D53264">
        <w:rPr>
          <w:rFonts w:ascii="Arial" w:hAnsi="Arial" w:cs="Arial"/>
          <w:color w:val="000000"/>
          <w:lang w:val="en-GB" w:eastAsia="en-GB"/>
        </w:rPr>
        <w:t xml:space="preserve"> will be shared</w:t>
      </w:r>
      <w:r w:rsidR="00AD4007" w:rsidRPr="001C10C6">
        <w:rPr>
          <w:rFonts w:ascii="Arial" w:hAnsi="Arial" w:cs="Arial"/>
          <w:color w:val="000000"/>
          <w:lang w:val="en-GB" w:eastAsia="en-GB"/>
        </w:rPr>
        <w:t xml:space="preserve">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e are legally responsible for ensuring that all personal data that we hold and use is done so in a way that meets the data protection principles</w:t>
      </w:r>
      <w:r w:rsidR="005B54E6">
        <w:rPr>
          <w:rFonts w:ascii="Arial" w:hAnsi="Arial" w:cs="Arial"/>
          <w:color w:val="000000"/>
          <w:lang w:val="en-GB" w:eastAsia="en-GB"/>
        </w:rPr>
        <w:t xml:space="preserve"> under the</w:t>
      </w:r>
      <w:r w:rsidR="004018B6">
        <w:rPr>
          <w:rFonts w:ascii="Arial" w:hAnsi="Arial" w:cs="Arial"/>
          <w:color w:val="000000"/>
          <w:lang w:val="en-GB" w:eastAsia="en-GB"/>
        </w:rPr>
        <w:t xml:space="preserve"> UK</w:t>
      </w:r>
      <w:r w:rsidR="005B54E6">
        <w:rPr>
          <w:rFonts w:ascii="Arial" w:hAnsi="Arial" w:cs="Arial"/>
          <w:color w:val="000000"/>
          <w:lang w:val="en-GB" w:eastAsia="en-GB"/>
        </w:rPr>
        <w:t xml:space="preserve"> General Data Protection Regulation (</w:t>
      </w:r>
      <w:r w:rsidR="00D53264">
        <w:rPr>
          <w:rFonts w:ascii="Arial" w:hAnsi="Arial" w:cs="Arial"/>
          <w:color w:val="000000"/>
          <w:lang w:val="en-GB" w:eastAsia="en-GB"/>
        </w:rPr>
        <w:t xml:space="preserve">UK </w:t>
      </w:r>
      <w:r w:rsidR="005B54E6">
        <w:rPr>
          <w:rFonts w:ascii="Arial" w:hAnsi="Arial" w:cs="Arial"/>
          <w:color w:val="000000"/>
          <w:lang w:val="en-GB" w:eastAsia="en-GB"/>
        </w:rPr>
        <w:t>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rsidR="00210814"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w:t>
      </w:r>
      <w:proofErr w:type="gramStart"/>
      <w:r w:rsidR="00C26262">
        <w:rPr>
          <w:rFonts w:ascii="Arial" w:hAnsi="Arial" w:cs="Arial"/>
          <w:color w:val="000000"/>
          <w:lang w:val="en-GB" w:eastAsia="en-GB"/>
        </w:rPr>
        <w:t>is:</w:t>
      </w:r>
      <w:proofErr w:type="gramEnd"/>
      <w:r w:rsidR="007B1171">
        <w:rPr>
          <w:rFonts w:ascii="Arial" w:hAnsi="Arial" w:cs="Arial"/>
          <w:color w:val="000000"/>
          <w:lang w:val="en-GB" w:eastAsia="en-GB"/>
        </w:rPr>
        <w:t xml:space="preserve"> Dr Jamie Barfield</w:t>
      </w:r>
    </w:p>
    <w:p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 xml:space="preserve">Under </w:t>
      </w:r>
      <w:r w:rsidR="00D53264">
        <w:rPr>
          <w:rFonts w:ascii="Arial" w:eastAsia="Times New Roman" w:hAnsi="Arial" w:cs="Arial"/>
          <w:color w:val="auto"/>
          <w:lang w:eastAsia="en-GB"/>
        </w:rPr>
        <w:t xml:space="preserve">the UK </w:t>
      </w:r>
      <w:r>
        <w:rPr>
          <w:rFonts w:ascii="Arial" w:eastAsia="Times New Roman" w:hAnsi="Arial" w:cs="Arial"/>
          <w:color w:val="auto"/>
          <w:lang w:eastAsia="en-GB"/>
        </w:rPr>
        <w:t>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rsidR="007B1171" w:rsidRPr="007B1171" w:rsidRDefault="007B1171" w:rsidP="007B1171">
      <w:pPr>
        <w:spacing w:line="276" w:lineRule="auto"/>
        <w:rPr>
          <w:rFonts w:ascii="Arial" w:eastAsiaTheme="minorHAnsi" w:hAnsi="Arial" w:cs="Arial"/>
          <w:sz w:val="21"/>
          <w:szCs w:val="21"/>
          <w:lang w:val="en-GB"/>
        </w:rPr>
      </w:pPr>
      <w:bookmarkStart w:id="0" w:name="_Hlk201760171"/>
      <w:r w:rsidRPr="007B1171">
        <w:rPr>
          <w:rFonts w:ascii="Arial" w:eastAsiaTheme="minorHAnsi" w:hAnsi="Arial" w:cs="Arial"/>
          <w:sz w:val="21"/>
          <w:szCs w:val="21"/>
          <w:lang w:val="en-GB"/>
        </w:rPr>
        <w:t xml:space="preserve">Mid Mersey Digital Alliance </w:t>
      </w:r>
    </w:p>
    <w:p w:rsidR="007B1171" w:rsidRPr="007B1171" w:rsidRDefault="007B1171" w:rsidP="007B1171">
      <w:pPr>
        <w:spacing w:line="276" w:lineRule="auto"/>
        <w:rPr>
          <w:rFonts w:ascii="Arial" w:eastAsiaTheme="minorHAnsi" w:hAnsi="Arial" w:cs="Arial"/>
          <w:sz w:val="21"/>
          <w:szCs w:val="21"/>
          <w:lang w:val="en-GB"/>
        </w:rPr>
      </w:pPr>
      <w:r w:rsidRPr="007B1171">
        <w:rPr>
          <w:rFonts w:ascii="Arial" w:eastAsiaTheme="minorHAnsi" w:hAnsi="Arial" w:cs="Arial"/>
          <w:sz w:val="21"/>
          <w:szCs w:val="21"/>
          <w:lang w:val="en-GB"/>
        </w:rPr>
        <w:t>Jubilee Court</w:t>
      </w:r>
    </w:p>
    <w:p w:rsidR="007B1171" w:rsidRPr="007B1171" w:rsidRDefault="007B1171" w:rsidP="007B1171">
      <w:pPr>
        <w:spacing w:line="276" w:lineRule="auto"/>
        <w:rPr>
          <w:rFonts w:ascii="Arial" w:eastAsiaTheme="minorHAnsi" w:hAnsi="Arial" w:cs="Arial"/>
          <w:sz w:val="21"/>
          <w:szCs w:val="21"/>
          <w:lang w:val="en-GB"/>
        </w:rPr>
      </w:pPr>
      <w:r w:rsidRPr="007B1171">
        <w:rPr>
          <w:rFonts w:ascii="Arial" w:eastAsiaTheme="minorHAnsi" w:hAnsi="Arial" w:cs="Arial"/>
          <w:sz w:val="21"/>
          <w:szCs w:val="21"/>
          <w:lang w:val="en-GB"/>
        </w:rPr>
        <w:t>Academy Site</w:t>
      </w:r>
    </w:p>
    <w:p w:rsidR="007B1171" w:rsidRPr="007B1171" w:rsidRDefault="007B1171" w:rsidP="007B1171">
      <w:pPr>
        <w:spacing w:line="276" w:lineRule="auto"/>
        <w:rPr>
          <w:rFonts w:ascii="Arial" w:eastAsiaTheme="minorHAnsi" w:hAnsi="Arial" w:cs="Arial"/>
          <w:sz w:val="21"/>
          <w:szCs w:val="21"/>
          <w:lang w:val="en-GB"/>
        </w:rPr>
      </w:pPr>
      <w:r w:rsidRPr="007B1171">
        <w:rPr>
          <w:rFonts w:ascii="Arial" w:eastAsiaTheme="minorHAnsi" w:hAnsi="Arial" w:cs="Arial"/>
          <w:sz w:val="21"/>
          <w:szCs w:val="21"/>
          <w:lang w:val="en-GB"/>
        </w:rPr>
        <w:t>Waterside</w:t>
      </w:r>
    </w:p>
    <w:p w:rsidR="007B1171" w:rsidRPr="007B1171" w:rsidRDefault="007B1171" w:rsidP="007B1171">
      <w:pPr>
        <w:spacing w:line="276" w:lineRule="auto"/>
        <w:rPr>
          <w:rFonts w:ascii="Arial" w:eastAsiaTheme="minorHAnsi" w:hAnsi="Arial" w:cs="Arial"/>
          <w:sz w:val="21"/>
          <w:szCs w:val="21"/>
          <w:lang w:val="en-GB"/>
        </w:rPr>
      </w:pPr>
      <w:r w:rsidRPr="007B1171">
        <w:rPr>
          <w:rFonts w:ascii="Arial" w:eastAsiaTheme="minorHAnsi" w:hAnsi="Arial" w:cs="Arial"/>
          <w:sz w:val="21"/>
          <w:szCs w:val="21"/>
          <w:lang w:val="en-GB"/>
        </w:rPr>
        <w:t>St Helens</w:t>
      </w:r>
    </w:p>
    <w:p w:rsidR="007B1171" w:rsidRPr="007B1171" w:rsidRDefault="007B1171" w:rsidP="007B1171">
      <w:pPr>
        <w:spacing w:line="276" w:lineRule="auto"/>
        <w:rPr>
          <w:rFonts w:ascii="Arial" w:eastAsiaTheme="minorHAnsi" w:hAnsi="Arial" w:cs="Arial"/>
          <w:sz w:val="21"/>
          <w:szCs w:val="21"/>
          <w:lang w:val="en-GB"/>
        </w:rPr>
      </w:pPr>
      <w:r w:rsidRPr="007B1171">
        <w:rPr>
          <w:rFonts w:ascii="Arial" w:eastAsiaTheme="minorHAnsi" w:hAnsi="Arial" w:cs="Arial"/>
          <w:sz w:val="21"/>
          <w:szCs w:val="21"/>
          <w:lang w:val="en-GB"/>
        </w:rPr>
        <w:t>WA9 1TT</w:t>
      </w:r>
    </w:p>
    <w:p w:rsidR="007B1171" w:rsidRPr="007B1171" w:rsidRDefault="007B1171" w:rsidP="007B1171">
      <w:pPr>
        <w:spacing w:line="276" w:lineRule="auto"/>
        <w:rPr>
          <w:rFonts w:ascii="Arial" w:eastAsiaTheme="minorHAnsi" w:hAnsi="Arial" w:cs="Arial"/>
          <w:sz w:val="21"/>
          <w:szCs w:val="21"/>
          <w:lang w:val="en-GB"/>
        </w:rPr>
      </w:pPr>
      <w:r w:rsidRPr="007B1171">
        <w:rPr>
          <w:rFonts w:ascii="Arial" w:eastAsiaTheme="minorHAnsi" w:hAnsi="Arial" w:cs="Arial"/>
          <w:sz w:val="21"/>
          <w:szCs w:val="21"/>
          <w:lang w:val="en-GB"/>
        </w:rPr>
        <w:t>IG@midmerseyda.nhs.uk</w:t>
      </w:r>
    </w:p>
    <w:p w:rsidR="007B1171" w:rsidRPr="007B1171" w:rsidRDefault="007B1171" w:rsidP="007B1171">
      <w:pPr>
        <w:pStyle w:val="NoSpacing"/>
        <w:jc w:val="both"/>
        <w:rPr>
          <w:rFonts w:ascii="Arial" w:eastAsiaTheme="minorHAnsi" w:hAnsi="Arial" w:cs="Arial"/>
          <w:sz w:val="21"/>
          <w:szCs w:val="21"/>
          <w:lang w:val="en-GB"/>
        </w:rPr>
      </w:pPr>
      <w:r w:rsidRPr="007B1171">
        <w:rPr>
          <w:rFonts w:ascii="Arial" w:eastAsiaTheme="minorHAnsi" w:hAnsi="Arial" w:cs="Arial"/>
          <w:sz w:val="21"/>
          <w:szCs w:val="21"/>
          <w:lang w:val="en-GB"/>
        </w:rPr>
        <w:t>0151 676 5639</w:t>
      </w:r>
      <w:bookmarkEnd w:id="0"/>
    </w:p>
    <w:p w:rsidR="007B1171" w:rsidRDefault="007B1171" w:rsidP="007B1171">
      <w:pPr>
        <w:pStyle w:val="NoSpacing"/>
        <w:jc w:val="both"/>
        <w:rPr>
          <w:rFonts w:ascii="Arial" w:eastAsiaTheme="minorHAnsi" w:hAnsi="Arial" w:cs="Arial"/>
          <w:b/>
          <w:bCs/>
          <w:sz w:val="21"/>
          <w:szCs w:val="21"/>
          <w:lang w:val="en-GB"/>
        </w:rPr>
      </w:pPr>
    </w:p>
    <w:p w:rsidR="001C10C6" w:rsidRPr="001C10C6" w:rsidRDefault="001C10C6" w:rsidP="007B1171">
      <w:pPr>
        <w:pStyle w:val="NoSpacing"/>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sidR="00D53264">
        <w:rPr>
          <w:rFonts w:ascii="Arial" w:hAnsi="Arial" w:cs="Arial"/>
          <w:lang w:val="en"/>
        </w:rPr>
        <w:t>l</w:t>
      </w:r>
      <w:r w:rsidRPr="001C10C6">
        <w:rPr>
          <w:rFonts w:ascii="Arial" w:hAnsi="Arial" w:cs="Arial"/>
          <w:lang w:val="en"/>
        </w:rPr>
        <w:t>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 xml:space="preserve">What </w:t>
      </w:r>
      <w:r w:rsidR="00472F3B" w:rsidRPr="00C54FF7">
        <w:rPr>
          <w:rFonts w:ascii="Arial" w:hAnsi="Arial" w:cs="Arial"/>
          <w:b/>
          <w:color w:val="0070C0"/>
          <w:sz w:val="32"/>
          <w:szCs w:val="32"/>
          <w:lang w:val="en-GB" w:eastAsia="en-GB"/>
        </w:rPr>
        <w:t>we do?</w:t>
      </w:r>
    </w:p>
    <w:p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r w:rsidR="00D53264">
        <w:rPr>
          <w:rFonts w:ascii="Arial" w:hAnsi="Arial" w:cs="Arial"/>
          <w:color w:val="000000"/>
          <w:lang w:val="en-GB" w:eastAsia="en-GB"/>
        </w:rPr>
        <w:t>, investigations</w:t>
      </w:r>
      <w:r w:rsidRPr="00ED2724">
        <w:rPr>
          <w:rFonts w:ascii="Arial" w:hAnsi="Arial" w:cs="Arial"/>
          <w:color w:val="000000"/>
          <w:lang w:val="en-GB" w:eastAsia="en-GB"/>
        </w:rPr>
        <w:t>)</w:t>
      </w:r>
    </w:p>
    <w:p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D53264">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D53264">
        <w:rPr>
          <w:rFonts w:ascii="Arial" w:hAnsi="Arial" w:cs="Arial"/>
          <w:color w:val="000000"/>
        </w:rPr>
        <w:t xml:space="preserve">UK </w:t>
      </w:r>
      <w:r w:rsidR="00F32726">
        <w:rPr>
          <w:rFonts w:ascii="Arial" w:hAnsi="Arial" w:cs="Arial"/>
          <w:color w:val="000000"/>
        </w:rPr>
        <w:t>GDPR, this now includes biometric data and genetic data.</w:t>
      </w:r>
    </w:p>
    <w:p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8"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It includes personal data and special categories of 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rsidR="0036647B" w:rsidRPr="007D79B2" w:rsidRDefault="00BA2A56" w:rsidP="009E2CA0">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Our data processing activities</w:t>
      </w:r>
    </w:p>
    <w:p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w:t>
      </w:r>
      <w:r w:rsidR="00D53264">
        <w:rPr>
          <w:rFonts w:ascii="Arial" w:hAnsi="Arial" w:cs="Arial"/>
          <w:lang w:val="en-GB" w:eastAsia="en-GB"/>
        </w:rPr>
        <w:t xml:space="preserve">UK </w:t>
      </w:r>
      <w:r w:rsidR="00EA060A" w:rsidRPr="001C10C6">
        <w:rPr>
          <w:rFonts w:ascii="Arial" w:hAnsi="Arial" w:cs="Arial"/>
          <w:lang w:val="en-GB" w:eastAsia="en-GB"/>
        </w:rPr>
        <w:t>GDPR</w:t>
      </w:r>
      <w:r w:rsidRPr="001C10C6">
        <w:rPr>
          <w:rFonts w:ascii="Arial" w:hAnsi="Arial" w:cs="Arial"/>
          <w:lang w:val="en-GB" w:eastAsia="en-GB"/>
        </w:rPr>
        <w:t xml:space="preserve"> sets out </w:t>
      </w:r>
      <w:r w:rsidR="00EA060A" w:rsidRPr="001C10C6">
        <w:rPr>
          <w:rFonts w:ascii="Arial" w:hAnsi="Arial" w:cs="Arial"/>
          <w:lang w:val="en-GB" w:eastAsia="en-GB"/>
        </w:rPr>
        <w:t xml:space="preserve">a number of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e have to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6"/>
        <w:gridCol w:w="7578"/>
      </w:tblGrid>
      <w:tr w:rsidR="00BA2A56" w:rsidRPr="00D81EA2" w:rsidTr="007B6E46">
        <w:tc>
          <w:tcPr>
            <w:tcW w:w="2243" w:type="dxa"/>
          </w:tcPr>
          <w:p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rsidTr="007B6E46">
        <w:tc>
          <w:tcPr>
            <w:tcW w:w="2243" w:type="dxa"/>
          </w:tcPr>
          <w:p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rsidTr="007B6E46">
        <w:tc>
          <w:tcPr>
            <w:tcW w:w="2243" w:type="dxa"/>
          </w:tcPr>
          <w:p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rsidTr="007B6E46">
        <w:tc>
          <w:tcPr>
            <w:tcW w:w="2243" w:type="dxa"/>
          </w:tcPr>
          <w:p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in order for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the </w:t>
      </w:r>
      <w:r w:rsidRPr="001C10C6">
        <w:rPr>
          <w:rFonts w:ascii="Arial" w:hAnsi="Arial" w:cs="Arial"/>
          <w:lang w:val="en-GB" w:eastAsia="en-GB"/>
        </w:rPr>
        <w:t xml:space="preserve">majority of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w:t>
      </w:r>
      <w:r w:rsidR="00D53264">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rsidR="008A6D07" w:rsidRPr="009E2CA0" w:rsidRDefault="008A6D07" w:rsidP="009E2CA0">
      <w:pPr>
        <w:spacing w:before="100" w:beforeAutospacing="1" w:after="100" w:afterAutospacing="1"/>
        <w:jc w:val="both"/>
        <w:rPr>
          <w:rFonts w:ascii="Arial" w:hAnsi="Arial" w:cs="Arial"/>
          <w:b/>
          <w:color w:val="0070C0"/>
          <w:sz w:val="32"/>
          <w:szCs w:val="32"/>
          <w:lang w:val="en-GB" w:eastAsia="en-GB"/>
        </w:rPr>
      </w:pPr>
      <w:r w:rsidRPr="009E2CA0">
        <w:rPr>
          <w:rFonts w:ascii="Arial" w:hAnsi="Arial" w:cs="Arial"/>
          <w:b/>
          <w:color w:val="0070C0"/>
          <w:sz w:val="32"/>
          <w:szCs w:val="32"/>
          <w:lang w:val="en-GB" w:eastAsia="en-GB"/>
        </w:rPr>
        <w:t>Purposes other than direct care</w:t>
      </w:r>
      <w:r w:rsidR="00B35D96" w:rsidRPr="009E2CA0">
        <w:rPr>
          <w:rFonts w:ascii="Arial" w:hAnsi="Arial" w:cs="Arial"/>
          <w:b/>
          <w:color w:val="0070C0"/>
          <w:sz w:val="32"/>
          <w:szCs w:val="32"/>
          <w:lang w:val="en-GB" w:eastAsia="en-GB"/>
        </w:rPr>
        <w:t xml:space="preserve"> (secondary use)</w:t>
      </w:r>
    </w:p>
    <w:p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Generally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When your personal information is used for secondary use this should, where appropriate, be limited and de-identified so that the secondary uses process is confidential.</w:t>
      </w:r>
    </w:p>
    <w:p w:rsidR="00AB417E" w:rsidRPr="007D79B2" w:rsidRDefault="00AB417E"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570AF8" w:rsidRPr="00D81EA2" w:rsidTr="007B6E46">
        <w:tc>
          <w:tcPr>
            <w:tcW w:w="2243" w:type="dxa"/>
          </w:tcPr>
          <w:p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787" w:type="dxa"/>
          </w:tcPr>
          <w:p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rsidTr="007B6E46">
        <w:tc>
          <w:tcPr>
            <w:tcW w:w="2243" w:type="dxa"/>
          </w:tcPr>
          <w:p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787" w:type="dxa"/>
          </w:tcPr>
          <w:p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rsidTr="007B6E46">
        <w:tc>
          <w:tcPr>
            <w:tcW w:w="2243" w:type="dxa"/>
          </w:tcPr>
          <w:p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787" w:type="dxa"/>
          </w:tcPr>
          <w:p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rsidTr="007B6E46">
        <w:tc>
          <w:tcPr>
            <w:tcW w:w="2243" w:type="dxa"/>
          </w:tcPr>
          <w:p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Common Law Duty of Confidentiality basis</w:t>
            </w:r>
          </w:p>
        </w:tc>
        <w:tc>
          <w:tcPr>
            <w:tcW w:w="7787" w:type="dxa"/>
          </w:tcPr>
          <w:p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 the provisions of the Children Acts </w:t>
      </w:r>
      <w:r w:rsidR="00570AF8" w:rsidRPr="005872E6">
        <w:rPr>
          <w:rFonts w:ascii="Arial" w:hAnsi="Arial" w:cs="Arial"/>
          <w:lang w:val="en-GB" w:eastAsia="en-GB"/>
        </w:rPr>
        <w:t>1989 and 2006 and Care Act 2014.</w:t>
      </w:r>
    </w:p>
    <w:p w:rsidR="00D14259" w:rsidRPr="007D79B2" w:rsidRDefault="00D14259"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Risk Stratification</w:t>
      </w:r>
    </w:p>
    <w:tbl>
      <w:tblPr>
        <w:tblStyle w:val="TableGrid"/>
        <w:tblW w:w="0" w:type="auto"/>
        <w:tblInd w:w="108" w:type="dxa"/>
        <w:tblLook w:val="04A0" w:firstRow="1" w:lastRow="0" w:firstColumn="1" w:lastColumn="0" w:noHBand="0" w:noVBand="1"/>
      </w:tblPr>
      <w:tblGrid>
        <w:gridCol w:w="2203"/>
        <w:gridCol w:w="7601"/>
      </w:tblGrid>
      <w:tr w:rsidR="00D14259" w:rsidRPr="00D81EA2" w:rsidTr="007B6E46">
        <w:tc>
          <w:tcPr>
            <w:tcW w:w="2230" w:type="dxa"/>
          </w:tcPr>
          <w:p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rsidTr="007B6E46">
        <w:tc>
          <w:tcPr>
            <w:tcW w:w="2230" w:type="dxa"/>
          </w:tcPr>
          <w:p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rsidTr="007B6E46">
        <w:tc>
          <w:tcPr>
            <w:tcW w:w="2230" w:type="dxa"/>
          </w:tcPr>
          <w:p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rsidR="00D14259" w:rsidRDefault="00D14259" w:rsidP="00A765F8">
      <w:pPr>
        <w:autoSpaceDE w:val="0"/>
        <w:autoSpaceDN w:val="0"/>
        <w:adjustRightInd w:val="0"/>
        <w:jc w:val="both"/>
        <w:rPr>
          <w:rFonts w:ascii="Arial" w:hAnsi="Arial" w:cs="Arial"/>
          <w:color w:val="000000"/>
          <w:lang w:val="en-GB" w:eastAsia="en-GB"/>
        </w:rPr>
      </w:pPr>
    </w:p>
    <w:p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Risk stratification entails applying computer based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rsidR="00D14259" w:rsidRPr="00D14259" w:rsidRDefault="00D14259" w:rsidP="00A765F8">
      <w:pPr>
        <w:autoSpaceDE w:val="0"/>
        <w:autoSpaceDN w:val="0"/>
        <w:adjustRightInd w:val="0"/>
        <w:jc w:val="both"/>
        <w:rPr>
          <w:rFonts w:ascii="Arial" w:hAnsi="Arial" w:cs="Arial"/>
          <w:color w:val="000000"/>
          <w:lang w:val="en-GB" w:eastAsia="en-GB"/>
        </w:rPr>
      </w:pPr>
    </w:p>
    <w:p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rsidR="00D14259" w:rsidRPr="00D14259" w:rsidRDefault="00D14259" w:rsidP="00A765F8">
      <w:pPr>
        <w:autoSpaceDE w:val="0"/>
        <w:autoSpaceDN w:val="0"/>
        <w:adjustRightInd w:val="0"/>
        <w:jc w:val="both"/>
        <w:rPr>
          <w:rFonts w:ascii="Arial" w:hAnsi="Arial" w:cs="Arial"/>
          <w:color w:val="000000"/>
          <w:lang w:val="en-GB" w:eastAsia="en-GB"/>
        </w:rPr>
      </w:pPr>
    </w:p>
    <w:p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rsidR="00D14259" w:rsidRDefault="00D14259" w:rsidP="00A765F8">
      <w:pPr>
        <w:autoSpaceDE w:val="0"/>
        <w:autoSpaceDN w:val="0"/>
        <w:adjustRightInd w:val="0"/>
        <w:jc w:val="both"/>
        <w:rPr>
          <w:rFonts w:ascii="Arial" w:hAnsi="Arial" w:cs="Arial"/>
          <w:color w:val="000000"/>
          <w:lang w:val="en-GB" w:eastAsia="en-GB"/>
        </w:rPr>
      </w:pPr>
    </w:p>
    <w:p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rsidR="007A5C1E" w:rsidRPr="007D79B2" w:rsidRDefault="00A16D10"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202"/>
        <w:gridCol w:w="7602"/>
      </w:tblGrid>
      <w:tr w:rsidR="00A16D10" w:rsidRPr="00D81EA2" w:rsidTr="007B6E46">
        <w:trPr>
          <w:trHeight w:val="971"/>
        </w:trPr>
        <w:tc>
          <w:tcPr>
            <w:tcW w:w="2230" w:type="dxa"/>
          </w:tcPr>
          <w:p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rsidTr="007B6E46">
        <w:tc>
          <w:tcPr>
            <w:tcW w:w="2230" w:type="dxa"/>
          </w:tcPr>
          <w:p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rsidTr="007B6E46">
        <w:tc>
          <w:tcPr>
            <w:tcW w:w="2230" w:type="dxa"/>
          </w:tcPr>
          <w:p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Research</w:t>
      </w:r>
    </w:p>
    <w:tbl>
      <w:tblPr>
        <w:tblStyle w:val="TableGrid"/>
        <w:tblW w:w="0" w:type="auto"/>
        <w:tblInd w:w="108" w:type="dxa"/>
        <w:tblLook w:val="04A0" w:firstRow="1" w:lastRow="0" w:firstColumn="1" w:lastColumn="0" w:noHBand="0" w:noVBand="1"/>
      </w:tblPr>
      <w:tblGrid>
        <w:gridCol w:w="2203"/>
        <w:gridCol w:w="7601"/>
      </w:tblGrid>
      <w:tr w:rsidR="00E32E31" w:rsidRPr="00D81EA2" w:rsidTr="007B6E46">
        <w:trPr>
          <w:trHeight w:val="543"/>
        </w:trPr>
        <w:tc>
          <w:tcPr>
            <w:tcW w:w="2230" w:type="dxa"/>
          </w:tcPr>
          <w:p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rsidTr="007B6E46">
        <w:tc>
          <w:tcPr>
            <w:tcW w:w="2230" w:type="dxa"/>
          </w:tcPr>
          <w:p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rsidTr="007B6E46">
        <w:tc>
          <w:tcPr>
            <w:tcW w:w="2230" w:type="dxa"/>
          </w:tcPr>
          <w:p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rsidR="00E32E31" w:rsidRDefault="00E32E31" w:rsidP="00E32E31">
      <w:pPr>
        <w:autoSpaceDE w:val="0"/>
        <w:autoSpaceDN w:val="0"/>
        <w:adjustRightInd w:val="0"/>
        <w:jc w:val="both"/>
        <w:rPr>
          <w:rFonts w:ascii="Arial" w:hAnsi="Arial" w:cs="Arial"/>
          <w:color w:val="000000"/>
          <w:lang w:val="en-GB" w:eastAsia="en-GB"/>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rsidR="00CC0F64" w:rsidRDefault="00CC0F64" w:rsidP="00CC0F64">
      <w:pPr>
        <w:pStyle w:val="Default0"/>
        <w:jc w:val="both"/>
        <w:rPr>
          <w:rFonts w:ascii="Arial" w:hAnsi="Arial" w:cs="Arial"/>
          <w:bCs/>
          <w:color w:val="auto"/>
        </w:rPr>
      </w:pPr>
    </w:p>
    <w:p w:rsidR="00CC0F64" w:rsidRPr="007D79B2" w:rsidRDefault="00CC0F64" w:rsidP="007D79B2">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How patient information may be used for research</w:t>
      </w: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rsidR="00B31554" w:rsidRDefault="00B31554" w:rsidP="00CC0F64">
      <w:pPr>
        <w:pStyle w:val="Default0"/>
        <w:jc w:val="both"/>
        <w:rPr>
          <w:rFonts w:ascii="Arial" w:hAnsi="Arial" w:cs="Arial"/>
          <w:bCs/>
          <w:color w:val="auto"/>
        </w:rPr>
      </w:pPr>
    </w:p>
    <w:p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rsidR="00B31554" w:rsidRDefault="00B31554" w:rsidP="00CC0F64">
      <w:pPr>
        <w:pStyle w:val="Default0"/>
        <w:jc w:val="both"/>
        <w:rPr>
          <w:rFonts w:ascii="Arial" w:hAnsi="Arial" w:cs="Arial"/>
          <w:bCs/>
          <w:color w:val="auto"/>
        </w:rPr>
      </w:pPr>
    </w:p>
    <w:p w:rsidR="00CC0F64" w:rsidRPr="007D79B2" w:rsidRDefault="00CC0F64" w:rsidP="00CC0F64">
      <w:pPr>
        <w:pStyle w:val="Default0"/>
        <w:jc w:val="both"/>
        <w:rPr>
          <w:rFonts w:ascii="Arial" w:hAnsi="Arial" w:cs="Arial"/>
          <w:b/>
          <w:bCs/>
          <w:color w:val="auto"/>
          <w:u w:val="single"/>
        </w:rPr>
      </w:pPr>
      <w:r w:rsidRPr="007D79B2">
        <w:rPr>
          <w:rFonts w:ascii="Arial" w:hAnsi="Arial" w:cs="Arial"/>
          <w:b/>
          <w:bCs/>
          <w:color w:val="auto"/>
          <w:u w:val="single"/>
        </w:rPr>
        <w:t>Your choices about health and care research</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r w:rsidR="009E2CA0">
        <w:rPr>
          <w:rFonts w:ascii="Arial" w:hAnsi="Arial" w:cs="Arial"/>
          <w:bCs/>
          <w:color w:val="auto"/>
        </w:rPr>
        <w:t>:</w:t>
      </w:r>
    </w:p>
    <w:p w:rsidR="00CC0F64" w:rsidRDefault="007B6E46" w:rsidP="00CC0F64">
      <w:pPr>
        <w:pStyle w:val="Default0"/>
        <w:jc w:val="both"/>
        <w:rPr>
          <w:rFonts w:ascii="Arial" w:hAnsi="Arial" w:cs="Arial"/>
          <w:bCs/>
          <w:color w:val="auto"/>
        </w:rPr>
      </w:pPr>
      <w:hyperlink r:id="rId9" w:history="1">
        <w:r w:rsidRPr="00992787">
          <w:rPr>
            <w:rStyle w:val="Hyperlink"/>
            <w:rFonts w:ascii="Arial" w:hAnsi="Arial" w:cs="Arial"/>
            <w:bCs/>
          </w:rPr>
          <w:t>https://understandingpatientdata.org.uk/what-you-need-know</w:t>
        </w:r>
      </w:hyperlink>
    </w:p>
    <w:p w:rsidR="00B31554" w:rsidRPr="00CC0F64" w:rsidRDefault="00B31554" w:rsidP="00CC0F64">
      <w:pPr>
        <w:pStyle w:val="Default0"/>
        <w:jc w:val="both"/>
        <w:rPr>
          <w:rFonts w:ascii="Arial" w:hAnsi="Arial" w:cs="Arial"/>
          <w:bCs/>
          <w:color w:val="auto"/>
        </w:rPr>
      </w:pPr>
    </w:p>
    <w:p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rsidR="00B31554" w:rsidRDefault="00B31554" w:rsidP="00CC0F64">
      <w:pPr>
        <w:pStyle w:val="Default0"/>
        <w:jc w:val="both"/>
        <w:rPr>
          <w:rFonts w:ascii="Arial" w:hAnsi="Arial" w:cs="Arial"/>
          <w:bCs/>
          <w:color w:val="auto"/>
        </w:rPr>
      </w:pPr>
      <w:hyperlink r:id="rId10" w:history="1">
        <w:r w:rsidRPr="00992787">
          <w:rPr>
            <w:rStyle w:val="Hyperlink"/>
            <w:rFonts w:ascii="Arial" w:hAnsi="Arial" w:cs="Arial"/>
            <w:bCs/>
          </w:rPr>
          <w:t>https://www.nhs.uk/your-nhs-data-matters/</w:t>
        </w:r>
      </w:hyperlink>
    </w:p>
    <w:p w:rsidR="00B31554" w:rsidRDefault="00B3155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rsidR="00CC0F64" w:rsidRPr="00CC0F64" w:rsidRDefault="00CC0F64" w:rsidP="00CC0F64">
      <w:pPr>
        <w:pStyle w:val="Default0"/>
        <w:jc w:val="both"/>
        <w:rPr>
          <w:rFonts w:ascii="Arial" w:hAnsi="Arial" w:cs="Arial"/>
          <w:bCs/>
          <w:color w:val="auto"/>
        </w:rPr>
      </w:pPr>
    </w:p>
    <w:p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 xml:space="preserve">To find out more about </w:t>
      </w:r>
      <w:r w:rsidR="00C82D8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rsidR="00CC0F64" w:rsidRDefault="00CC0F64" w:rsidP="002C3FBA">
      <w:pPr>
        <w:pStyle w:val="Default0"/>
        <w:suppressAutoHyphens/>
        <w:adjustRightInd/>
        <w:jc w:val="both"/>
        <w:textAlignment w:val="baseline"/>
        <w:rPr>
          <w:rFonts w:ascii="Arial" w:hAnsi="Arial" w:cs="Arial"/>
          <w:bCs/>
          <w:color w:val="auto"/>
        </w:rPr>
      </w:pPr>
      <w:hyperlink r:id="rId11" w:history="1">
        <w:r w:rsidRPr="00992787">
          <w:rPr>
            <w:rStyle w:val="Hyperlink"/>
            <w:rFonts w:ascii="Arial" w:hAnsi="Arial" w:cs="Arial"/>
            <w:bCs/>
          </w:rPr>
          <w:t>https://www.hra.nhs.uk/hra-guidance-general-data-protection-regulation/</w:t>
        </w:r>
      </w:hyperlink>
    </w:p>
    <w:p w:rsidR="00CC0F64" w:rsidRDefault="00CC0F64" w:rsidP="002C3FBA">
      <w:pPr>
        <w:pStyle w:val="Default0"/>
        <w:suppressAutoHyphens/>
        <w:adjustRightInd/>
        <w:jc w:val="both"/>
        <w:textAlignment w:val="baseline"/>
        <w:rPr>
          <w:rFonts w:ascii="Arial" w:hAnsi="Arial" w:cs="Arial"/>
          <w:bCs/>
          <w:color w:val="auto"/>
        </w:rPr>
      </w:pPr>
    </w:p>
    <w:p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E32E31" w:rsidRPr="00D81EA2" w:rsidTr="007B6E46">
        <w:trPr>
          <w:trHeight w:val="543"/>
        </w:trPr>
        <w:tc>
          <w:tcPr>
            <w:tcW w:w="2230" w:type="dxa"/>
          </w:tcPr>
          <w:p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rsidTr="007B6E46">
        <w:tc>
          <w:tcPr>
            <w:tcW w:w="2230" w:type="dxa"/>
          </w:tcPr>
          <w:p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rsidTr="007B6E46">
        <w:tc>
          <w:tcPr>
            <w:tcW w:w="2230" w:type="dxa"/>
          </w:tcPr>
          <w:p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systems </w:t>
            </w:r>
          </w:p>
          <w:p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rsidR="00E32E31" w:rsidRDefault="00E32E31" w:rsidP="00E32E31">
      <w:pPr>
        <w:autoSpaceDE w:val="0"/>
        <w:autoSpaceDN w:val="0"/>
        <w:adjustRightInd w:val="0"/>
        <w:jc w:val="both"/>
        <w:rPr>
          <w:rFonts w:ascii="Calibri" w:hAnsi="Calibri" w:cs="Calibri"/>
          <w:color w:val="000000"/>
          <w:sz w:val="23"/>
          <w:szCs w:val="23"/>
          <w:lang w:val="en-GB" w:eastAsia="en-GB"/>
        </w:rPr>
      </w:pPr>
    </w:p>
    <w:p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rsidR="001264BE" w:rsidRPr="007D79B2" w:rsidRDefault="00AB417E" w:rsidP="00A765F8">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Purposes requiring consent</w:t>
      </w:r>
    </w:p>
    <w:p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w:t>
      </w:r>
      <w:r w:rsidR="00D53264">
        <w:rPr>
          <w:rFonts w:ascii="Arial" w:hAnsi="Arial" w:cs="Arial"/>
          <w:color w:val="000000"/>
          <w:lang w:val="en-GB" w:eastAsia="en-GB"/>
        </w:rPr>
        <w:t xml:space="preserve">UK </w:t>
      </w:r>
      <w:r w:rsidRPr="001C10C6">
        <w:rPr>
          <w:rFonts w:ascii="Arial" w:hAnsi="Arial" w:cs="Arial"/>
          <w:color w:val="000000"/>
          <w:lang w:val="en-GB" w:eastAsia="en-GB"/>
        </w:rPr>
        <w:t>GDPR, consent must be freely given, specific, you must be informed and a record must be made that you have given your consent, to confirm you have understood</w:t>
      </w:r>
      <w:r>
        <w:rPr>
          <w:rFonts w:ascii="Arial" w:hAnsi="Arial" w:cs="Arial"/>
          <w:color w:val="000000"/>
          <w:lang w:val="en-GB" w:eastAsia="en-GB"/>
        </w:rPr>
        <w:t xml:space="preserve">.  </w:t>
      </w:r>
    </w:p>
    <w:p w:rsidR="00D14259" w:rsidRPr="007D79B2" w:rsidRDefault="00D14259"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F6440" w:rsidRPr="00D81EA2" w:rsidTr="00814FB4">
        <w:trPr>
          <w:trHeight w:val="321"/>
        </w:trPr>
        <w:tc>
          <w:tcPr>
            <w:tcW w:w="2338" w:type="dxa"/>
          </w:tcPr>
          <w:p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rsidTr="00A765F8">
        <w:tc>
          <w:tcPr>
            <w:tcW w:w="2338" w:type="dxa"/>
          </w:tcPr>
          <w:p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rsidTr="00A765F8">
        <w:tc>
          <w:tcPr>
            <w:tcW w:w="2338" w:type="dxa"/>
          </w:tcPr>
          <w:p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rsidR="00C24D11" w:rsidRDefault="00C24D11" w:rsidP="00A765F8">
      <w:pPr>
        <w:autoSpaceDE w:val="0"/>
        <w:autoSpaceDN w:val="0"/>
        <w:adjustRightInd w:val="0"/>
        <w:jc w:val="both"/>
        <w:rPr>
          <w:rFonts w:ascii="Calibri" w:hAnsi="Calibri" w:cs="Calibri"/>
          <w:color w:val="000000"/>
          <w:sz w:val="23"/>
          <w:szCs w:val="23"/>
          <w:lang w:val="en-GB" w:eastAsia="en-GB"/>
        </w:rPr>
      </w:pPr>
    </w:p>
    <w:p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rsidR="00B35D96" w:rsidRDefault="00B35D96" w:rsidP="007D79B2">
      <w:pPr>
        <w:pStyle w:val="Default0"/>
        <w:jc w:val="both"/>
        <w:rPr>
          <w:rFonts w:ascii="Arial" w:hAnsi="Arial" w:cs="Arial"/>
          <w:b/>
          <w:bCs/>
          <w:color w:val="auto"/>
          <w:u w:val="single"/>
        </w:rPr>
      </w:pPr>
      <w:r w:rsidRPr="007D79B2">
        <w:rPr>
          <w:rFonts w:ascii="Arial" w:hAnsi="Arial" w:cs="Arial"/>
          <w:b/>
          <w:bCs/>
          <w:color w:val="auto"/>
          <w:u w:val="single"/>
        </w:rPr>
        <w:t>Using anonymous or coded information</w:t>
      </w:r>
    </w:p>
    <w:p w:rsidR="007D79B2" w:rsidRPr="007D79B2" w:rsidRDefault="007D79B2" w:rsidP="007D79B2">
      <w:pPr>
        <w:pStyle w:val="Default0"/>
        <w:jc w:val="both"/>
        <w:rPr>
          <w:rFonts w:ascii="Arial" w:hAnsi="Arial" w:cs="Arial"/>
          <w:b/>
          <w:bCs/>
          <w:color w:val="auto"/>
          <w:u w:val="single"/>
        </w:rPr>
      </w:pPr>
    </w:p>
    <w:p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rsidR="009E2CA0" w:rsidRDefault="009E2CA0" w:rsidP="00A765F8">
      <w:pPr>
        <w:pStyle w:val="NoSpacing"/>
        <w:jc w:val="both"/>
        <w:rPr>
          <w:rFonts w:ascii="Arial" w:hAnsi="Arial" w:cs="Arial"/>
          <w:lang w:val="en-GB" w:eastAsia="en-GB"/>
        </w:rPr>
      </w:pPr>
    </w:p>
    <w:p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rsidR="00AC78D4" w:rsidRPr="009E2CA0" w:rsidRDefault="00AC78D4" w:rsidP="00AC78D4">
      <w:pPr>
        <w:spacing w:before="100" w:beforeAutospacing="1" w:after="100" w:afterAutospacing="1"/>
        <w:rPr>
          <w:rFonts w:ascii="Arial" w:hAnsi="Arial" w:cs="Arial"/>
          <w:color w:val="3F525F"/>
          <w:lang w:val="en-GB" w:eastAsia="en-GB"/>
        </w:rPr>
      </w:pPr>
      <w:r w:rsidRPr="009E2CA0">
        <w:rPr>
          <w:rFonts w:ascii="Arial" w:hAnsi="Arial" w:cs="Arial"/>
          <w:lang w:val="en-GB" w:eastAsia="en-GB"/>
        </w:rPr>
        <w:t>This applies to identifiable patient data about your health (personal identifiable data in the diagram below), which is called </w:t>
      </w:r>
      <w:hyperlink r:id="rId12" w:history="1">
        <w:r w:rsidRPr="009E2CA0">
          <w:rPr>
            <w:rFonts w:ascii="Arial" w:hAnsi="Arial" w:cs="Arial"/>
            <w:color w:val="005BBB"/>
            <w:lang w:val="en-GB" w:eastAsia="en-GB"/>
          </w:rPr>
          <w:t>confidential patient information</w:t>
        </w:r>
      </w:hyperlink>
      <w:r w:rsidRPr="009E2CA0">
        <w:rPr>
          <w:rFonts w:ascii="Arial" w:hAnsi="Arial" w:cs="Arial"/>
          <w:color w:val="3F525F"/>
          <w:lang w:val="en-GB" w:eastAsia="en-GB"/>
        </w:rPr>
        <w:t xml:space="preserve">. </w:t>
      </w:r>
      <w:r w:rsidRPr="009E2CA0">
        <w:rPr>
          <w:rFonts w:ascii="Arial" w:hAnsi="Arial" w:cs="Arial"/>
          <w:lang w:val="en-GB" w:eastAsia="en-GB"/>
        </w:rPr>
        <w:t>If you don’t want your confidential patient information to be shared by NHS Digital for purposes except your own care - either GP data, or other data we hold, such as hospital data - you can register a </w:t>
      </w:r>
      <w:hyperlink r:id="rId13" w:history="1">
        <w:r w:rsidRPr="009E2CA0">
          <w:rPr>
            <w:rFonts w:ascii="Arial" w:hAnsi="Arial" w:cs="Arial"/>
            <w:color w:val="005BBB"/>
            <w:lang w:val="en-GB" w:eastAsia="en-GB"/>
          </w:rPr>
          <w:t>National Data Opt-out</w:t>
        </w:r>
      </w:hyperlink>
      <w:r w:rsidRPr="009E2CA0">
        <w:rPr>
          <w:rFonts w:ascii="Arial" w:hAnsi="Arial" w:cs="Arial"/>
          <w:color w:val="3F525F"/>
          <w:lang w:val="en-GB" w:eastAsia="en-GB"/>
        </w:rPr>
        <w:t>. </w:t>
      </w:r>
    </w:p>
    <w:p w:rsidR="00AC78D4" w:rsidRDefault="00A618BC" w:rsidP="00A618BC">
      <w:pPr>
        <w:spacing w:before="100" w:beforeAutospacing="1" w:after="100" w:afterAutospacing="1"/>
        <w:jc w:val="center"/>
        <w:rPr>
          <w:rFonts w:ascii="Arial" w:hAnsi="Arial" w:cs="Arial"/>
          <w:color w:val="3F525F"/>
          <w:sz w:val="27"/>
          <w:szCs w:val="27"/>
          <w:lang w:val="en-GB" w:eastAsia="en-GB"/>
        </w:rPr>
      </w:pPr>
      <w:r>
        <w:rPr>
          <w:rFonts w:ascii="Arial" w:hAnsi="Arial" w:cs="Arial"/>
          <w:noProof/>
          <w:color w:val="3F525F"/>
          <w:sz w:val="27"/>
          <w:szCs w:val="27"/>
          <w:lang w:val="en-GB" w:eastAsia="en-GB"/>
        </w:rPr>
        <w:drawing>
          <wp:inline distT="0" distB="0" distL="0" distR="0" wp14:anchorId="16E55197" wp14:editId="7677BC3C">
            <wp:extent cx="3950208" cy="2427546"/>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rotWithShape="1">
                    <a:blip r:embed="rId14">
                      <a:extLst>
                        <a:ext uri="{28A0092B-C50C-407E-A947-70E740481C1C}">
                          <a14:useLocalDpi xmlns:a14="http://schemas.microsoft.com/office/drawing/2010/main" val="0"/>
                        </a:ext>
                      </a:extLst>
                    </a:blip>
                    <a:srcRect l="14400" r="16000"/>
                    <a:stretch/>
                  </pic:blipFill>
                  <pic:spPr bwMode="auto">
                    <a:xfrm>
                      <a:off x="0" y="0"/>
                      <a:ext cx="3962917" cy="2435356"/>
                    </a:xfrm>
                    <a:prstGeom prst="rect">
                      <a:avLst/>
                    </a:prstGeom>
                    <a:noFill/>
                    <a:ln>
                      <a:noFill/>
                    </a:ln>
                    <a:extLst>
                      <a:ext uri="{53640926-AAD7-44D8-BBD7-CCE9431645EC}">
                        <a14:shadowObscured xmlns:a14="http://schemas.microsoft.com/office/drawing/2010/main"/>
                      </a:ext>
                    </a:extLst>
                  </pic:spPr>
                </pic:pic>
              </a:graphicData>
            </a:graphic>
          </wp:inline>
        </w:drawing>
      </w:r>
    </w:p>
    <w:p w:rsidR="00DD7500" w:rsidRDefault="00AC78D4" w:rsidP="00AC78D4">
      <w:pPr>
        <w:spacing w:before="100" w:beforeAutospacing="1" w:after="100" w:afterAutospacing="1"/>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5" w:history="1">
        <w:r w:rsidRPr="009E2CA0">
          <w:rPr>
            <w:rFonts w:ascii="Arial" w:hAnsi="Arial" w:cs="Arial"/>
            <w:color w:val="005BBB"/>
            <w:lang w:val="en-GB" w:eastAsia="en-GB"/>
          </w:rPr>
          <w:t>exemptions on the NHS website</w:t>
        </w:r>
      </w:hyperlink>
      <w:r w:rsidRPr="009E2CA0">
        <w:rPr>
          <w:rFonts w:ascii="Arial" w:hAnsi="Arial" w:cs="Arial"/>
          <w:color w:val="3F525F"/>
          <w:lang w:val="en-GB" w:eastAsia="en-GB"/>
        </w:rPr>
        <w:t>.</w:t>
      </w:r>
      <w:r w:rsidR="00DD7500" w:rsidRPr="00DD7500">
        <w:t xml:space="preserve"> </w:t>
      </w:r>
    </w:p>
    <w:p w:rsidR="00AC78D4" w:rsidRPr="009E2CA0" w:rsidRDefault="00DD7500" w:rsidP="00AC78D4">
      <w:pPr>
        <w:spacing w:before="100" w:beforeAutospacing="1" w:after="100" w:afterAutospacing="1"/>
        <w:rPr>
          <w:rFonts w:ascii="Arial" w:hAnsi="Arial" w:cs="Arial"/>
          <w:color w:val="3F525F"/>
          <w:lang w:val="en-GB" w:eastAsia="en-GB"/>
        </w:rPr>
      </w:pPr>
      <w:r w:rsidRPr="00DD7500">
        <w:rPr>
          <w:rFonts w:ascii="Arial" w:hAnsi="Arial" w:cs="Arial"/>
          <w:color w:val="3F525F"/>
          <w:lang w:val="en-GB" w:eastAsia="en-GB"/>
        </w:rPr>
        <w:t>From July 2022, it is a legal requirement for all health and social care CQC registered organisations to be compliant with the national data opt out.</w:t>
      </w:r>
    </w:p>
    <w:p w:rsidR="00AC78D4" w:rsidRPr="00A618BC" w:rsidRDefault="00DD7500" w:rsidP="00AC78D4">
      <w:pPr>
        <w:spacing w:before="100" w:beforeAutospacing="1" w:after="100" w:afterAutospacing="1"/>
        <w:rPr>
          <w:rFonts w:ascii="Arial" w:hAnsi="Arial" w:cs="Arial"/>
          <w:lang w:val="en-GB" w:eastAsia="en-GB"/>
        </w:rPr>
      </w:pPr>
      <w:r>
        <w:rPr>
          <w:rFonts w:ascii="Arial" w:hAnsi="Arial" w:cs="Arial"/>
          <w:lang w:val="en-GB" w:eastAsia="en-GB"/>
        </w:rPr>
        <w:t>T</w:t>
      </w:r>
      <w:r w:rsidR="00AC78D4" w:rsidRPr="00A618BC">
        <w:rPr>
          <w:rFonts w:ascii="Arial" w:hAnsi="Arial" w:cs="Arial"/>
          <w:lang w:val="en-GB" w:eastAsia="en-GB"/>
        </w:rPr>
        <w: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rsidR="00AC78D4"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You can find out more about and register a National Data Opt-out or change your choice on </w:t>
      </w:r>
      <w:hyperlink r:id="rId16" w:history="1">
        <w:r w:rsidRPr="009E2CA0">
          <w:rPr>
            <w:rFonts w:ascii="Arial" w:hAnsi="Arial" w:cs="Arial"/>
            <w:color w:val="005BBB"/>
            <w:lang w:val="en-GB" w:eastAsia="en-GB"/>
          </w:rPr>
          <w:t>nhs.uk/your-</w:t>
        </w:r>
        <w:proofErr w:type="spellStart"/>
        <w:r w:rsidRPr="009E2CA0">
          <w:rPr>
            <w:rFonts w:ascii="Arial" w:hAnsi="Arial" w:cs="Arial"/>
            <w:color w:val="005BBB"/>
            <w:lang w:val="en-GB" w:eastAsia="en-GB"/>
          </w:rPr>
          <w:t>nhs</w:t>
        </w:r>
        <w:proofErr w:type="spellEnd"/>
        <w:r w:rsidRPr="009E2CA0">
          <w:rPr>
            <w:rFonts w:ascii="Arial" w:hAnsi="Arial" w:cs="Arial"/>
            <w:color w:val="005BBB"/>
            <w:lang w:val="en-GB" w:eastAsia="en-GB"/>
          </w:rPr>
          <w:t>-data-matters</w:t>
        </w:r>
      </w:hyperlink>
      <w:r w:rsidRPr="009E2CA0">
        <w:rPr>
          <w:rFonts w:ascii="Arial" w:hAnsi="Arial" w:cs="Arial"/>
          <w:color w:val="3F525F"/>
          <w:lang w:val="en-GB" w:eastAsia="en-GB"/>
        </w:rPr>
        <w:t> </w:t>
      </w:r>
      <w:r w:rsidRPr="00A618BC">
        <w:rPr>
          <w:rFonts w:ascii="Arial" w:hAnsi="Arial" w:cs="Arial"/>
          <w:lang w:val="en-GB" w:eastAsia="en-GB"/>
        </w:rPr>
        <w:t>or by calling 0300 3035678.</w:t>
      </w:r>
    </w:p>
    <w:p w:rsidR="00B31554" w:rsidRDefault="007B6E46" w:rsidP="00A765F8">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6A7D3458" wp14:editId="604DF932">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rsidR="007B6E46" w:rsidRPr="00B31554" w:rsidRDefault="007B6E46" w:rsidP="00B31554">
      <w:pPr>
        <w:pStyle w:val="NoSpacing"/>
        <w:jc w:val="both"/>
        <w:rPr>
          <w:rFonts w:ascii="Arial" w:hAnsi="Arial" w:cs="Arial"/>
          <w:lang w:val="en-GB" w:eastAsia="en-GB"/>
        </w:rPr>
      </w:pP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rsidR="00B31554" w:rsidRPr="00B31554" w:rsidRDefault="00B31554" w:rsidP="00B31554">
      <w:pPr>
        <w:pStyle w:val="NoSpacing"/>
        <w:jc w:val="both"/>
        <w:rPr>
          <w:rFonts w:ascii="Arial" w:hAnsi="Arial" w:cs="Arial"/>
          <w:lang w:val="en-GB" w:eastAsia="en-GB"/>
        </w:rPr>
      </w:pPr>
    </w:p>
    <w:p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AC78D4">
        <w:rPr>
          <w:rFonts w:ascii="Arial" w:hAnsi="Arial" w:cs="Arial"/>
          <w:lang w:val="en-GB" w:eastAsia="en-GB"/>
        </w:rPr>
        <w:t xml:space="preserve"> </w:t>
      </w:r>
      <w:r w:rsidRPr="00B31554">
        <w:rPr>
          <w:rFonts w:ascii="Arial" w:hAnsi="Arial" w:cs="Arial"/>
          <w:lang w:val="en-GB" w:eastAsia="en-GB"/>
        </w:rPr>
        <w:t>provided</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rsidR="00B31554" w:rsidRPr="00B31554" w:rsidRDefault="00B31554" w:rsidP="00B31554">
      <w:pPr>
        <w:pStyle w:val="NoSpacing"/>
        <w:jc w:val="both"/>
        <w:rPr>
          <w:rFonts w:ascii="Arial" w:hAnsi="Arial" w:cs="Arial"/>
          <w:lang w:val="en-GB" w:eastAsia="en-GB"/>
        </w:rPr>
      </w:pP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rsidR="00B31554" w:rsidRPr="00B31554" w:rsidRDefault="00B31554" w:rsidP="00B31554">
      <w:pPr>
        <w:pStyle w:val="NoSpacing"/>
        <w:jc w:val="both"/>
        <w:rPr>
          <w:rFonts w:ascii="Arial" w:hAnsi="Arial" w:cs="Arial"/>
          <w:lang w:val="en-GB" w:eastAsia="en-GB"/>
        </w:rPr>
      </w:pPr>
    </w:p>
    <w:p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rsidR="007B6E46" w:rsidRPr="00B31554" w:rsidRDefault="007B6E46" w:rsidP="00B31554">
      <w:pPr>
        <w:pStyle w:val="NoSpacing"/>
        <w:jc w:val="both"/>
        <w:rPr>
          <w:rFonts w:ascii="Arial" w:hAnsi="Arial" w:cs="Arial"/>
          <w:lang w:val="en-GB" w:eastAsia="en-GB"/>
        </w:rPr>
      </w:pPr>
    </w:p>
    <w:p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rsidR="007B6E46" w:rsidRDefault="007B6E46" w:rsidP="00B31554">
      <w:pPr>
        <w:pStyle w:val="NoSpacing"/>
        <w:jc w:val="both"/>
        <w:rPr>
          <w:rFonts w:ascii="Arial" w:hAnsi="Arial" w:cs="Arial"/>
          <w:lang w:val="en-GB" w:eastAsia="en-GB"/>
        </w:rPr>
      </w:pPr>
      <w:hyperlink r:id="rId18" w:history="1">
        <w:r w:rsidRPr="00992787">
          <w:rPr>
            <w:rStyle w:val="Hyperlink"/>
            <w:rFonts w:ascii="Arial" w:hAnsi="Arial" w:cs="Arial"/>
            <w:lang w:val="en-GB" w:eastAsia="en-GB"/>
          </w:rPr>
          <w:t>www.nhs.uk/your-nhs-data-matters</w:t>
        </w:r>
      </w:hyperlink>
    </w:p>
    <w:p w:rsidR="007B6E46" w:rsidRDefault="007B6E46" w:rsidP="00B31554">
      <w:pPr>
        <w:pStyle w:val="NoSpacing"/>
        <w:jc w:val="both"/>
        <w:rPr>
          <w:rFonts w:ascii="Arial" w:hAnsi="Arial" w:cs="Arial"/>
          <w:lang w:val="en-GB" w:eastAsia="en-GB"/>
        </w:rPr>
      </w:pPr>
    </w:p>
    <w:p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rsidR="007B6E46" w:rsidRPr="00B31554" w:rsidRDefault="007B6E46" w:rsidP="00B31554">
      <w:pPr>
        <w:pStyle w:val="NoSpacing"/>
        <w:jc w:val="both"/>
        <w:rPr>
          <w:rFonts w:ascii="Arial" w:hAnsi="Arial" w:cs="Arial"/>
          <w:lang w:val="en-GB" w:eastAsia="en-GB"/>
        </w:rPr>
      </w:pP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Be able to access the system to view, set or change your opt-out setting</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your opt-out by phone </w:t>
      </w:r>
    </w:p>
    <w:p w:rsidR="00B31554" w:rsidRPr="00A618BC" w:rsidRDefault="00B31554" w:rsidP="00B31554">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rsidR="007B6E46" w:rsidRDefault="007B6E46" w:rsidP="00A618BC">
      <w:pPr>
        <w:pStyle w:val="NoSpacing"/>
        <w:jc w:val="both"/>
        <w:rPr>
          <w:rFonts w:ascii="Arial" w:hAnsi="Arial" w:cs="Arial"/>
          <w:lang w:val="en-GB" w:eastAsia="en-GB"/>
        </w:rPr>
      </w:pPr>
      <w:hyperlink r:id="rId19"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w:t>
      </w:r>
      <w:r w:rsidR="00B31554" w:rsidRPr="00B31554">
        <w:rPr>
          <w:rFonts w:ascii="Arial" w:hAnsi="Arial" w:cs="Arial"/>
          <w:lang w:val="en-GB" w:eastAsia="en-GB"/>
        </w:rPr>
        <w:t xml:space="preserve">(which covers health and care research); </w:t>
      </w:r>
    </w:p>
    <w:p w:rsidR="007B6E46"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rsidR="00B31554" w:rsidRPr="00B31554" w:rsidRDefault="007B6E46" w:rsidP="00B31554">
      <w:pPr>
        <w:pStyle w:val="NoSpacing"/>
        <w:jc w:val="both"/>
        <w:rPr>
          <w:rFonts w:ascii="Arial" w:hAnsi="Arial" w:cs="Arial"/>
          <w:lang w:val="en-GB" w:eastAsia="en-GB"/>
        </w:rPr>
      </w:pPr>
      <w:hyperlink r:id="rId20"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Opting out of NHS Digital collecting your data (Type 1 Opt-out)</w:t>
      </w:r>
    </w:p>
    <w:p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1" w:anchor="who-we-share-patient-data-with" w:history="1">
        <w:r w:rsidRPr="00A618BC">
          <w:rPr>
            <w:rFonts w:ascii="Arial" w:hAnsi="Arial" w:cs="Arial"/>
            <w:color w:val="005BBB"/>
            <w:lang w:val="en-GB" w:eastAsia="en-GB"/>
          </w:rPr>
          <w:t>Who we share patient data with</w:t>
        </w:r>
      </w:hyperlink>
      <w:r w:rsidRPr="00A618BC">
        <w:rPr>
          <w:rFonts w:ascii="Arial" w:hAnsi="Arial" w:cs="Arial"/>
          <w:color w:val="3F525F"/>
          <w:lang w:val="en-GB" w:eastAsia="en-GB"/>
        </w:rPr>
        <w:t>.</w:t>
      </w:r>
    </w:p>
    <w:p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NHS Digital will not collect any patient data for patients who have already registered a Type 1 Opt-out in line with current policy. If this changes patients who have registered a Type 1 Opt-out will be informed.</w:t>
      </w:r>
    </w:p>
    <w:p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patient data shared with NHS Digital, you can register a Type 1 Opt-out with your GP practice. You can register a Type 1 Opt-out at any time. You can also change your mind at any time and withdraw a Type 1 Opt-out.</w:t>
      </w:r>
    </w:p>
    <w:p w:rsidR="00AC78D4" w:rsidRPr="00A618BC" w:rsidRDefault="00CA7E2A" w:rsidP="00AC78D4">
      <w:pPr>
        <w:spacing w:before="100" w:beforeAutospacing="1" w:after="100" w:afterAutospacing="1"/>
        <w:rPr>
          <w:rFonts w:ascii="Arial" w:hAnsi="Arial" w:cs="Arial"/>
          <w:lang w:val="en-GB" w:eastAsia="en-GB"/>
        </w:rPr>
      </w:pPr>
      <w:r>
        <w:rPr>
          <w:rFonts w:ascii="Arial" w:hAnsi="Arial" w:cs="Arial"/>
          <w:lang w:val="en-GB" w:eastAsia="en-GB"/>
        </w:rPr>
        <w:t xml:space="preserve">A start date for the </w:t>
      </w:r>
      <w:r w:rsidR="00AC78D4" w:rsidRPr="00A618BC">
        <w:rPr>
          <w:rFonts w:ascii="Arial" w:hAnsi="Arial" w:cs="Arial"/>
          <w:lang w:val="en-GB" w:eastAsia="en-GB"/>
        </w:rPr>
        <w:t xml:space="preserve">Data sharing with NHS Digital will </w:t>
      </w:r>
      <w:r>
        <w:rPr>
          <w:rFonts w:ascii="Arial" w:hAnsi="Arial" w:cs="Arial"/>
          <w:lang w:val="en-GB" w:eastAsia="en-GB"/>
        </w:rPr>
        <w:t>be announced.</w:t>
      </w:r>
    </w:p>
    <w:p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have already registered a Type 1 Opt-out with your GP practice your data will not be shared with NHS Digital.</w:t>
      </w:r>
    </w:p>
    <w:p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wish to register a Type 1 Opt-out with your GP practice before data sharing starts with NHS Digital, this should be done by </w:t>
      </w:r>
      <w:hyperlink r:id="rId22" w:history="1">
        <w:r w:rsidRPr="00A618BC">
          <w:rPr>
            <w:rFonts w:ascii="Arial" w:hAnsi="Arial" w:cs="Arial"/>
            <w:color w:val="005BBB"/>
            <w:lang w:val="en-GB" w:eastAsia="en-GB"/>
          </w:rPr>
          <w:t>returning this form</w:t>
        </w:r>
      </w:hyperlink>
      <w:r w:rsidRPr="00A618BC">
        <w:rPr>
          <w:rFonts w:ascii="Arial" w:hAnsi="Arial" w:cs="Arial"/>
          <w:color w:val="3F525F"/>
          <w:lang w:val="en-GB" w:eastAsia="en-GB"/>
        </w:rPr>
        <w:t> </w:t>
      </w:r>
      <w:r w:rsidRPr="00A618BC">
        <w:rPr>
          <w:rFonts w:ascii="Arial" w:hAnsi="Arial" w:cs="Arial"/>
          <w:lang w:val="en-GB" w:eastAsia="en-GB"/>
        </w:rPr>
        <w:t xml:space="preserve">to your GP practice </w:t>
      </w:r>
      <w:r w:rsidR="00CA7E2A">
        <w:rPr>
          <w:rFonts w:ascii="Arial" w:hAnsi="Arial" w:cs="Arial"/>
          <w:lang w:val="en-GB" w:eastAsia="en-GB"/>
        </w:rPr>
        <w:t>as soon as possible</w:t>
      </w:r>
      <w:r w:rsidRPr="00A618BC">
        <w:rPr>
          <w:rFonts w:ascii="Arial" w:hAnsi="Arial" w:cs="Arial"/>
          <w:lang w:val="en-GB" w:eastAsia="en-GB"/>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rsidR="00AC78D4" w:rsidRPr="00AC78D4" w:rsidRDefault="00AC78D4" w:rsidP="00AC78D4">
      <w:pPr>
        <w:spacing w:before="100" w:beforeAutospacing="1" w:after="100" w:afterAutospacing="1"/>
        <w:rPr>
          <w:rFonts w:ascii="Arial" w:hAnsi="Arial" w:cs="Arial"/>
          <w:color w:val="3F525F"/>
          <w:sz w:val="27"/>
          <w:szCs w:val="27"/>
          <w:lang w:val="en-GB" w:eastAsia="en-GB"/>
        </w:rPr>
      </w:pPr>
      <w:r w:rsidRPr="00A618BC">
        <w:rPr>
          <w:rFonts w:ascii="Arial" w:hAnsi="Arial" w:cs="Arial"/>
          <w:lang w:val="en-GB" w:eastAsia="en-GB"/>
        </w:rPr>
        <w:t>If you do not want NHS Digital to share your identifiable patient data (personally identifiable data in the diagram above) with anyone else for purposes beyond your own care, then you can also register a </w:t>
      </w:r>
      <w:hyperlink r:id="rId23"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xml:space="preserve">. </w:t>
      </w:r>
      <w:r w:rsidRPr="00A618BC">
        <w:rPr>
          <w:rFonts w:ascii="Arial" w:hAnsi="Arial" w:cs="Arial"/>
          <w:lang w:val="en-GB" w:eastAsia="en-GB"/>
        </w:rPr>
        <w:t>There is more about National Data Opt-outs and when they apply in the </w:t>
      </w:r>
      <w:hyperlink r:id="rId24" w:anchor="national-data-opt-out-opting-out-of-nhs-digital-sharing-your-data-" w:history="1">
        <w:r w:rsidRPr="00A618BC">
          <w:rPr>
            <w:rFonts w:ascii="Arial" w:hAnsi="Arial" w:cs="Arial"/>
            <w:color w:val="005BBB"/>
            <w:lang w:val="en-GB" w:eastAsia="en-GB"/>
          </w:rPr>
          <w:t>National Data Opt-out section</w:t>
        </w:r>
      </w:hyperlink>
      <w:r w:rsidRPr="00A618BC">
        <w:rPr>
          <w:rFonts w:ascii="Arial" w:hAnsi="Arial" w:cs="Arial"/>
          <w:color w:val="3F525F"/>
          <w:lang w:val="en-GB" w:eastAsia="en-GB"/>
        </w:rPr>
        <w:t> </w:t>
      </w:r>
      <w:r w:rsidRPr="00A618BC">
        <w:rPr>
          <w:rFonts w:ascii="Arial" w:hAnsi="Arial" w:cs="Arial"/>
          <w:lang w:val="en-GB" w:eastAsia="en-GB"/>
        </w:rPr>
        <w:t>below.</w:t>
      </w:r>
    </w:p>
    <w:p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D53264">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D53264">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Our IT Services provider, </w:t>
      </w:r>
      <w:r w:rsidR="007B1171">
        <w:rPr>
          <w:rFonts w:ascii="Arial" w:hAnsi="Arial" w:cs="Arial"/>
          <w:color w:val="000000"/>
          <w:lang w:val="en-GB" w:eastAsia="en-GB"/>
        </w:rPr>
        <w:t>MLCSU</w:t>
      </w:r>
      <w:r w:rsidRPr="001C10C6">
        <w:rPr>
          <w:rFonts w:ascii="Arial" w:hAnsi="Arial" w:cs="Arial"/>
          <w:color w:val="000000"/>
          <w:lang w:val="en-GB" w:eastAsia="en-GB"/>
        </w:rPr>
        <w:t>, regularly monitor our system for potential vulnerabilities and attacks and look to always ensure security is strengthened.</w:t>
      </w:r>
    </w:p>
    <w:p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They are obliged in their employment contracts to uphold confidentiality, and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25" w:history="1">
        <w:r w:rsidRPr="00A618BC">
          <w:rPr>
            <w:rStyle w:val="Hyperlink"/>
            <w:rFonts w:ascii="Arial" w:hAnsi="Arial" w:cs="Arial"/>
            <w:lang w:val="en-GB" w:eastAsia="en-GB"/>
          </w:rPr>
          <w:t xml:space="preserve">Records Management NHS Code of Practice </w:t>
        </w:r>
        <w:r w:rsidR="00A618BC" w:rsidRPr="00A618BC">
          <w:rPr>
            <w:rStyle w:val="Hyperlink"/>
            <w:rFonts w:ascii="Arial" w:hAnsi="Arial" w:cs="Arial"/>
            <w:lang w:val="en-GB" w:eastAsia="en-GB"/>
          </w:rPr>
          <w:t>2021</w:t>
        </w:r>
      </w:hyperlink>
      <w:r w:rsidR="00A618BC">
        <w:rPr>
          <w:rFonts w:ascii="Arial" w:hAnsi="Arial" w:cs="Arial"/>
          <w:lang w:val="en-GB" w:eastAsia="en-GB"/>
        </w:rPr>
        <w:t xml:space="preserve"> </w:t>
      </w:r>
      <w:r w:rsidRPr="001C10C6">
        <w:rPr>
          <w:rFonts w:ascii="Arial" w:hAnsi="Arial" w:cs="Arial"/>
          <w:lang w:val="en-GB" w:eastAsia="en-GB"/>
        </w:rPr>
        <w:t>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on paper,</w:t>
      </w:r>
      <w:r w:rsidR="007B1171">
        <w:rPr>
          <w:rFonts w:ascii="Arial" w:hAnsi="Arial" w:cs="Arial"/>
          <w:lang w:val="en-GB" w:eastAsia="en-GB"/>
        </w:rPr>
        <w:t xml:space="preserve"> deleted on the electronic health record system, </w:t>
      </w:r>
      <w:r w:rsidRPr="001C10C6">
        <w:rPr>
          <w:rFonts w:ascii="Arial" w:hAnsi="Arial" w:cs="Arial"/>
          <w:lang w:val="en-GB" w:eastAsia="en-GB"/>
        </w:rPr>
        <w:t>archived for research purposes where this applies.</w:t>
      </w:r>
    </w:p>
    <w:p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disposal we have the following responsibilities: </w:t>
      </w:r>
    </w:p>
    <w:p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proofErr w:type="gramStart"/>
      <w:r w:rsidR="00411CA2">
        <w:rPr>
          <w:rFonts w:ascii="Arial" w:hAnsi="Arial" w:cs="Arial"/>
          <w:lang w:val="en-GB" w:eastAsia="en-GB"/>
        </w:rPr>
        <w:t>cross cut</w:t>
      </w:r>
      <w:proofErr w:type="gramEnd"/>
      <w:r w:rsidR="00411CA2">
        <w:rPr>
          <w:rFonts w:ascii="Arial" w:hAnsi="Arial" w:cs="Arial"/>
          <w:lang w:val="en-GB" w:eastAsia="en-GB"/>
        </w:rPr>
        <w:t xml:space="preserve"> shredder</w:t>
      </w:r>
      <w:r w:rsidR="007B1171">
        <w:rPr>
          <w:rFonts w:ascii="Arial" w:hAnsi="Arial" w:cs="Arial"/>
          <w:lang w:val="en-GB" w:eastAsia="en-GB"/>
        </w:rPr>
        <w:t xml:space="preserve"> </w:t>
      </w:r>
      <w:r w:rsidRPr="00411CA2">
        <w:rPr>
          <w:rFonts w:ascii="Arial" w:hAnsi="Arial" w:cs="Arial"/>
          <w:lang w:val="en-GB" w:eastAsia="en-GB"/>
        </w:rPr>
        <w:t>that complies with European Standard EN</w:t>
      </w:r>
      <w:proofErr w:type="gramStart"/>
      <w:r w:rsidRPr="00411CA2">
        <w:rPr>
          <w:rFonts w:ascii="Arial" w:hAnsi="Arial" w:cs="Arial"/>
          <w:lang w:val="en-GB" w:eastAsia="en-GB"/>
        </w:rPr>
        <w:t>15713</w:t>
      </w:r>
      <w:r w:rsidR="007B1171">
        <w:rPr>
          <w:rFonts w:ascii="Arial" w:hAnsi="Arial" w:cs="Arial"/>
          <w:lang w:val="en-GB" w:eastAsia="en-GB"/>
        </w:rPr>
        <w:t>.</w:t>
      </w:r>
      <w:r w:rsidRPr="00411CA2">
        <w:rPr>
          <w:rFonts w:ascii="Arial" w:hAnsi="Arial" w:cs="Arial"/>
          <w:lang w:val="en-GB" w:eastAsia="en-GB"/>
        </w:rPr>
        <w:t>.</w:t>
      </w:r>
      <w:proofErr w:type="gramEnd"/>
      <w:r w:rsidRPr="00411CA2">
        <w:rPr>
          <w:rFonts w:ascii="Arial" w:hAnsi="Arial" w:cs="Arial"/>
          <w:lang w:val="en-GB" w:eastAsia="en-GB"/>
        </w:rPr>
        <w:t xml:space="preserve"> </w:t>
      </w:r>
    </w:p>
    <w:p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r w:rsidR="003047FB" w:rsidRPr="00871399">
        <w:rPr>
          <w:rFonts w:ascii="Arial" w:hAnsi="Arial" w:cs="Arial"/>
          <w:b/>
          <w:color w:val="0070C0"/>
          <w:sz w:val="32"/>
          <w:szCs w:val="32"/>
          <w:lang w:val="en-GB" w:eastAsia="en-GB"/>
        </w:rPr>
        <w:t>?</w:t>
      </w:r>
    </w:p>
    <w:p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As stated above, where your data is being processed for direct care this will be shared with other care providers who are providing direct care to you such as</w:t>
      </w:r>
      <w:r w:rsidR="007413BD" w:rsidRPr="001C10C6">
        <w:rPr>
          <w:rFonts w:ascii="Arial" w:hAnsi="Arial" w:cs="Arial"/>
          <w:color w:val="000000"/>
          <w:lang w:val="en-GB" w:eastAsia="en-GB"/>
        </w:rPr>
        <w:t>:</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rsidR="003047FB" w:rsidRPr="007B1171"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7B1171">
        <w:rPr>
          <w:rFonts w:ascii="Arial" w:hAnsi="Arial" w:cs="Arial"/>
          <w:color w:val="000000"/>
          <w:lang w:val="en-GB" w:eastAsia="en-GB"/>
        </w:rPr>
        <w:t>Walk in centres</w:t>
      </w:r>
    </w:p>
    <w:p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rsidR="00A75DFD" w:rsidRPr="007B1171"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w:t>
      </w:r>
      <w:r w:rsidRPr="007B1171">
        <w:rPr>
          <w:rFonts w:ascii="Arial" w:hAnsi="Arial" w:cs="Arial"/>
          <w:color w:val="000000"/>
          <w:lang w:val="en-GB" w:eastAsia="en-GB"/>
        </w:rPr>
        <w:t>service to you.  These include:</w:t>
      </w:r>
    </w:p>
    <w:p w:rsidR="00A75DFD" w:rsidRPr="007B1171" w:rsidRDefault="007B1171"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7B1171">
        <w:rPr>
          <w:rFonts w:ascii="Arial" w:hAnsi="Arial" w:cs="Arial"/>
          <w:color w:val="000000"/>
          <w:lang w:val="en-GB" w:eastAsia="en-GB"/>
        </w:rPr>
        <w:t>EMIS/</w:t>
      </w:r>
      <w:proofErr w:type="spellStart"/>
      <w:r w:rsidRPr="007B1171">
        <w:rPr>
          <w:rFonts w:ascii="Arial" w:hAnsi="Arial" w:cs="Arial"/>
          <w:color w:val="000000"/>
          <w:lang w:val="en-GB" w:eastAsia="en-GB"/>
        </w:rPr>
        <w:t>Egton</w:t>
      </w:r>
      <w:proofErr w:type="spellEnd"/>
      <w:r w:rsidR="00A75DFD" w:rsidRPr="007B1171">
        <w:rPr>
          <w:rFonts w:ascii="Arial" w:hAnsi="Arial" w:cs="Arial"/>
          <w:color w:val="000000"/>
          <w:lang w:val="en-GB" w:eastAsia="en-GB"/>
        </w:rPr>
        <w:t xml:space="preserve"> –</w:t>
      </w:r>
      <w:r w:rsidR="00EE3153" w:rsidRPr="007B1171">
        <w:rPr>
          <w:rFonts w:ascii="Arial" w:hAnsi="Arial" w:cs="Arial"/>
          <w:color w:val="000000"/>
          <w:lang w:val="en-GB" w:eastAsia="en-GB"/>
        </w:rPr>
        <w:t xml:space="preserve"> to provide our electronic</w:t>
      </w:r>
      <w:r w:rsidR="00A75DFD" w:rsidRPr="007B1171">
        <w:rPr>
          <w:rFonts w:ascii="Arial" w:hAnsi="Arial" w:cs="Arial"/>
          <w:color w:val="000000"/>
          <w:lang w:val="en-GB" w:eastAsia="en-GB"/>
        </w:rPr>
        <w:t xml:space="preserve"> clinical system</w:t>
      </w:r>
    </w:p>
    <w:p w:rsidR="00A75DFD" w:rsidRPr="007B1171" w:rsidRDefault="007B1171"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7B1171">
        <w:rPr>
          <w:rFonts w:ascii="Arial" w:hAnsi="Arial" w:cs="Arial"/>
          <w:color w:val="000000"/>
          <w:lang w:val="en-GB" w:eastAsia="en-GB"/>
        </w:rPr>
        <w:t xml:space="preserve">MLCSU </w:t>
      </w:r>
      <w:r w:rsidR="00A75DFD" w:rsidRPr="007B1171">
        <w:rPr>
          <w:rFonts w:ascii="Arial" w:hAnsi="Arial" w:cs="Arial"/>
          <w:color w:val="000000"/>
          <w:lang w:val="en-GB" w:eastAsia="en-GB"/>
        </w:rPr>
        <w:t>– to provide our IT services</w:t>
      </w:r>
    </w:p>
    <w:p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in place stipulating the data protection compliance they must have and re-enforce their responsibilities as a data processor to ensure you data is securely protected at all times.</w:t>
      </w:r>
    </w:p>
    <w:p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rsidR="005B54E6" w:rsidRPr="005B54E6" w:rsidRDefault="005B54E6" w:rsidP="00A765F8">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ou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rsid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rsidR="007B1171" w:rsidRDefault="007B1171" w:rsidP="007B1171">
      <w:pPr>
        <w:pStyle w:val="ListParagraph"/>
        <w:jc w:val="both"/>
        <w:rPr>
          <w:rFonts w:ascii="Arial" w:hAnsi="Arial" w:cs="Arial"/>
          <w:lang w:val="en-GB" w:eastAsia="en-GB"/>
        </w:rPr>
      </w:pPr>
      <w:r>
        <w:rPr>
          <w:rFonts w:ascii="Arial" w:hAnsi="Arial" w:cs="Arial"/>
          <w:lang w:val="en-GB" w:eastAsia="en-GB"/>
        </w:rPr>
        <w:t>The Practice Manager</w:t>
      </w:r>
    </w:p>
    <w:p w:rsidR="007B1171" w:rsidRDefault="007B1171" w:rsidP="007B1171">
      <w:pPr>
        <w:pStyle w:val="ListParagraph"/>
        <w:jc w:val="both"/>
        <w:rPr>
          <w:rFonts w:ascii="Arial" w:hAnsi="Arial" w:cs="Arial"/>
          <w:lang w:val="en-GB" w:eastAsia="en-GB"/>
        </w:rPr>
      </w:pPr>
      <w:r>
        <w:rPr>
          <w:rFonts w:ascii="Arial" w:hAnsi="Arial" w:cs="Arial"/>
          <w:lang w:val="en-GB" w:eastAsia="en-GB"/>
        </w:rPr>
        <w:t>The Village Medical Centre</w:t>
      </w:r>
    </w:p>
    <w:p w:rsidR="007B1171" w:rsidRDefault="007B1171" w:rsidP="007B1171">
      <w:pPr>
        <w:pStyle w:val="ListParagraph"/>
        <w:jc w:val="both"/>
        <w:rPr>
          <w:rFonts w:ascii="Arial" w:hAnsi="Arial" w:cs="Arial"/>
          <w:lang w:val="en-GB" w:eastAsia="en-GB"/>
        </w:rPr>
      </w:pPr>
      <w:r>
        <w:rPr>
          <w:rFonts w:ascii="Arial" w:hAnsi="Arial" w:cs="Arial"/>
          <w:lang w:val="en-GB" w:eastAsia="en-GB"/>
        </w:rPr>
        <w:t>27 Grove Road</w:t>
      </w:r>
    </w:p>
    <w:p w:rsidR="007B1171" w:rsidRDefault="007B1171" w:rsidP="007B1171">
      <w:pPr>
        <w:pStyle w:val="ListParagraph"/>
        <w:jc w:val="both"/>
        <w:rPr>
          <w:rFonts w:ascii="Arial" w:hAnsi="Arial" w:cs="Arial"/>
          <w:lang w:val="en-GB" w:eastAsia="en-GB"/>
        </w:rPr>
      </w:pPr>
      <w:r>
        <w:rPr>
          <w:rFonts w:ascii="Arial" w:hAnsi="Arial" w:cs="Arial"/>
          <w:lang w:val="en-GB" w:eastAsia="en-GB"/>
        </w:rPr>
        <w:t>Wallasey</w:t>
      </w:r>
    </w:p>
    <w:p w:rsidR="007B1171" w:rsidRDefault="007B1171" w:rsidP="007B1171">
      <w:pPr>
        <w:pStyle w:val="ListParagraph"/>
        <w:jc w:val="both"/>
        <w:rPr>
          <w:rFonts w:ascii="Arial" w:hAnsi="Arial" w:cs="Arial"/>
          <w:lang w:val="en-GB" w:eastAsia="en-GB"/>
        </w:rPr>
      </w:pPr>
      <w:r>
        <w:rPr>
          <w:rFonts w:ascii="Arial" w:hAnsi="Arial" w:cs="Arial"/>
          <w:lang w:val="en-GB" w:eastAsia="en-GB"/>
        </w:rPr>
        <w:t>CH45 3HE</w:t>
      </w:r>
    </w:p>
    <w:p w:rsidR="007B1171" w:rsidRDefault="007B1171" w:rsidP="007B1171">
      <w:pPr>
        <w:pStyle w:val="ListParagraph"/>
        <w:jc w:val="both"/>
        <w:rPr>
          <w:rFonts w:ascii="Arial" w:hAnsi="Arial" w:cs="Arial"/>
          <w:lang w:val="en-GB" w:eastAsia="en-GB"/>
        </w:rPr>
      </w:pPr>
      <w:r>
        <w:rPr>
          <w:rFonts w:ascii="Arial" w:hAnsi="Arial" w:cs="Arial"/>
          <w:lang w:val="en-GB" w:eastAsia="en-GB"/>
        </w:rPr>
        <w:t>0151 691 1112</w:t>
      </w:r>
    </w:p>
    <w:p w:rsidR="007B1171" w:rsidRPr="007B1171" w:rsidRDefault="007B1171" w:rsidP="007B1171">
      <w:pPr>
        <w:pStyle w:val="ListParagraph"/>
        <w:jc w:val="both"/>
        <w:rPr>
          <w:rFonts w:ascii="Arial" w:hAnsi="Arial" w:cs="Arial"/>
          <w:lang w:val="en-GB" w:eastAsia="en-GB"/>
        </w:rPr>
      </w:pPr>
    </w:p>
    <w:p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rectification</w:t>
      </w:r>
      <w:r w:rsidR="008D238D">
        <w:rPr>
          <w:rFonts w:ascii="Arial" w:hAnsi="Arial" w:cs="Arial"/>
          <w:lang w:val="en-GB" w:eastAsia="en-GB"/>
        </w:rPr>
        <w:t xml:space="preserve"> </w:t>
      </w:r>
    </w:p>
    <w:p w:rsidR="008F49CA" w:rsidRDefault="008F49CA" w:rsidP="008D238D">
      <w:pPr>
        <w:pStyle w:val="ListParagraph"/>
        <w:jc w:val="both"/>
        <w:rPr>
          <w:rFonts w:ascii="Arial" w:hAnsi="Arial" w:cs="Arial"/>
          <w:lang w:val="en-GB" w:eastAsia="en-GB"/>
        </w:rPr>
      </w:pPr>
      <w:r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Pr="001C10C6">
        <w:rPr>
          <w:rFonts w:ascii="Arial" w:hAnsi="Arial" w:cs="Arial"/>
          <w:lang w:val="en-GB" w:eastAsia="en-GB"/>
        </w:rPr>
        <w:t xml:space="preserve">.  Please ensure the GP practice has the correct </w:t>
      </w:r>
      <w:r w:rsidR="00411CA2">
        <w:rPr>
          <w:rFonts w:ascii="Arial" w:hAnsi="Arial" w:cs="Arial"/>
          <w:lang w:val="en-GB" w:eastAsia="en-GB"/>
        </w:rPr>
        <w:t>contact</w:t>
      </w:r>
      <w:r w:rsidRPr="001C10C6">
        <w:rPr>
          <w:rFonts w:ascii="Arial" w:hAnsi="Arial" w:cs="Arial"/>
          <w:lang w:val="en-GB" w:eastAsia="en-GB"/>
        </w:rPr>
        <w:t xml:space="preserve"> details for you.  </w:t>
      </w:r>
    </w:p>
    <w:p w:rsidR="00A618BC" w:rsidRPr="001C10C6" w:rsidRDefault="00A618BC" w:rsidP="00A618BC">
      <w:pPr>
        <w:pStyle w:val="ListParagraph"/>
        <w:jc w:val="both"/>
        <w:rPr>
          <w:rFonts w:ascii="Arial" w:hAnsi="Arial" w:cs="Arial"/>
          <w:lang w:val="en-GB" w:eastAsia="en-GB"/>
        </w:rPr>
      </w:pPr>
    </w:p>
    <w:p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withdraw consent</w:t>
      </w:r>
    </w:p>
    <w:p w:rsidR="0015096E" w:rsidRDefault="00C82D80" w:rsidP="008D238D">
      <w:pPr>
        <w:pStyle w:val="ListParagraph"/>
        <w:jc w:val="both"/>
        <w:rPr>
          <w:rFonts w:ascii="Arial" w:hAnsi="Arial" w:cs="Arial"/>
          <w:lang w:val="en-GB" w:eastAsia="en-GB"/>
        </w:rPr>
      </w:pPr>
      <w:r>
        <w:rPr>
          <w:rFonts w:ascii="Arial" w:hAnsi="Arial" w:cs="Arial"/>
          <w:lang w:val="en-GB" w:eastAsia="en-GB"/>
        </w:rPr>
        <w:t xml:space="preserve">Where </w:t>
      </w:r>
      <w:r w:rsidR="00411CA2">
        <w:rPr>
          <w:rFonts w:ascii="Arial" w:hAnsi="Arial" w:cs="Arial"/>
          <w:lang w:val="en-GB" w:eastAsia="en-GB"/>
        </w:rPr>
        <w:t xml:space="preserve">your explicit </w:t>
      </w:r>
      <w:r w:rsidR="008F49CA" w:rsidRPr="001C10C6">
        <w:rPr>
          <w:rFonts w:ascii="Arial" w:hAnsi="Arial" w:cs="Arial"/>
          <w:lang w:val="en-GB" w:eastAsia="en-GB"/>
        </w:rPr>
        <w:t xml:space="preserve">consent </w:t>
      </w:r>
      <w:r>
        <w:rPr>
          <w:rFonts w:ascii="Arial" w:hAnsi="Arial" w:cs="Arial"/>
          <w:lang w:val="en-GB" w:eastAsia="en-GB"/>
        </w:rPr>
        <w:t xml:space="preserve">is required </w:t>
      </w:r>
      <w:r w:rsidR="008F49CA" w:rsidRPr="001C10C6">
        <w:rPr>
          <w:rFonts w:ascii="Arial" w:hAnsi="Arial" w:cs="Arial"/>
          <w:lang w:val="en-GB" w:eastAsia="en-GB"/>
        </w:rPr>
        <w:t>for any processing we do, you have the right to wi</w:t>
      </w:r>
      <w:r w:rsidR="008D238D">
        <w:rPr>
          <w:rFonts w:ascii="Arial" w:hAnsi="Arial" w:cs="Arial"/>
          <w:lang w:val="en-GB" w:eastAsia="en-GB"/>
        </w:rPr>
        <w:t>thdraw that consent at any time.</w:t>
      </w:r>
    </w:p>
    <w:p w:rsidR="00A618BC" w:rsidRPr="00A618BC" w:rsidRDefault="00A618BC" w:rsidP="00A618BC">
      <w:pPr>
        <w:jc w:val="both"/>
        <w:rPr>
          <w:rFonts w:ascii="Arial" w:hAnsi="Arial" w:cs="Arial"/>
          <w:lang w:val="en-GB" w:eastAsia="en-GB"/>
        </w:rPr>
      </w:pPr>
    </w:p>
    <w:p w:rsidR="0015096E" w:rsidRDefault="0015096E" w:rsidP="00A618BC">
      <w:pPr>
        <w:pStyle w:val="ListParagraph"/>
        <w:numPr>
          <w:ilvl w:val="0"/>
          <w:numId w:val="33"/>
        </w:numPr>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00C82D80">
        <w:rPr>
          <w:rFonts w:ascii="Arial" w:hAnsi="Arial" w:cs="Arial"/>
          <w:lang w:val="en-GB" w:eastAsia="en-GB"/>
        </w:rPr>
        <w:t xml:space="preserve">This is not applicable </w:t>
      </w:r>
      <w:r w:rsidRPr="0015096E">
        <w:rPr>
          <w:rFonts w:ascii="Arial" w:hAnsi="Arial" w:cs="Arial"/>
          <w:lang w:val="en-GB" w:eastAsia="en-GB"/>
        </w:rPr>
        <w:t>to health records</w:t>
      </w:r>
      <w:r w:rsidR="00C82D80">
        <w:rPr>
          <w:rFonts w:ascii="Arial" w:hAnsi="Arial" w:cs="Arial"/>
          <w:lang w:val="en-GB" w:eastAsia="en-GB"/>
        </w:rPr>
        <w:t xml:space="preserve"> but is normally relied upon where </w:t>
      </w:r>
      <w:r w:rsidR="00C82D80" w:rsidRPr="0015096E">
        <w:rPr>
          <w:rFonts w:ascii="Arial" w:hAnsi="Arial" w:cs="Arial"/>
          <w:lang w:val="en-GB" w:eastAsia="en-GB"/>
        </w:rPr>
        <w:t xml:space="preserve">consent </w:t>
      </w:r>
      <w:r w:rsidR="00C82D80">
        <w:rPr>
          <w:rFonts w:ascii="Arial" w:hAnsi="Arial" w:cs="Arial"/>
          <w:lang w:val="en-GB" w:eastAsia="en-GB"/>
        </w:rPr>
        <w:t xml:space="preserve">is obtained </w:t>
      </w:r>
      <w:r w:rsidR="00C82D80" w:rsidRPr="0015096E">
        <w:rPr>
          <w:rFonts w:ascii="Arial" w:hAnsi="Arial" w:cs="Arial"/>
          <w:lang w:val="en-GB" w:eastAsia="en-GB"/>
        </w:rPr>
        <w:t>for any processing</w:t>
      </w:r>
      <w:r w:rsidR="00C82D80">
        <w:rPr>
          <w:rFonts w:ascii="Arial" w:hAnsi="Arial" w:cs="Arial"/>
          <w:lang w:val="en-GB" w:eastAsia="en-GB"/>
        </w:rPr>
        <w:t>. Y</w:t>
      </w:r>
      <w:r w:rsidR="00C82D80" w:rsidRPr="0015096E">
        <w:rPr>
          <w:rFonts w:ascii="Arial" w:hAnsi="Arial" w:cs="Arial"/>
          <w:lang w:val="en-GB" w:eastAsia="en-GB"/>
        </w:rPr>
        <w:t xml:space="preserve">ou have the right to have that data deleted / erased.  </w:t>
      </w:r>
    </w:p>
    <w:p w:rsidR="007D79B2" w:rsidRPr="007D79B2" w:rsidRDefault="007D79B2" w:rsidP="007D79B2">
      <w:pPr>
        <w:pStyle w:val="ListParagraph"/>
        <w:rPr>
          <w:rFonts w:ascii="Arial" w:hAnsi="Arial" w:cs="Arial"/>
          <w:lang w:val="en-GB" w:eastAsia="en-GB"/>
        </w:rPr>
      </w:pPr>
    </w:p>
    <w:p w:rsidR="007D79B2" w:rsidRDefault="0015096E" w:rsidP="007D79B2">
      <w:pPr>
        <w:pStyle w:val="ListParagraph"/>
        <w:numPr>
          <w:ilvl w:val="0"/>
          <w:numId w:val="33"/>
        </w:numPr>
        <w:rPr>
          <w:rFonts w:ascii="Arial" w:hAnsi="Arial" w:cs="Arial"/>
          <w:lang w:val="en-GB" w:eastAsia="en-GB"/>
        </w:rPr>
      </w:pPr>
      <w:r w:rsidRPr="007D79B2">
        <w:rPr>
          <w:rFonts w:ascii="Arial" w:hAnsi="Arial" w:cs="Arial"/>
          <w:u w:val="single"/>
          <w:lang w:val="en-GB" w:eastAsia="en-GB"/>
        </w:rPr>
        <w:t>Right to Data Portability</w:t>
      </w:r>
      <w:r w:rsidRPr="007D79B2">
        <w:rPr>
          <w:rFonts w:ascii="Arial" w:hAnsi="Arial" w:cs="Arial"/>
          <w:lang w:val="en-GB" w:eastAsia="en-GB"/>
        </w:rPr>
        <w:br/>
        <w:t xml:space="preserve">If we obtain consent for any processing we do, you have the right to have </w:t>
      </w:r>
      <w:r w:rsidR="00BA2A56" w:rsidRPr="007D79B2">
        <w:rPr>
          <w:rFonts w:ascii="Arial" w:hAnsi="Arial" w:cs="Arial"/>
          <w:lang w:val="en-GB" w:eastAsia="en-GB"/>
        </w:rPr>
        <w:t xml:space="preserve">data provided to you in </w:t>
      </w:r>
      <w:r w:rsidR="005E256A" w:rsidRPr="007D79B2">
        <w:rPr>
          <w:rFonts w:ascii="Arial" w:hAnsi="Arial" w:cs="Arial"/>
          <w:lang w:val="en-GB" w:eastAsia="en-GB"/>
        </w:rPr>
        <w:t xml:space="preserve">a commonly used and </w:t>
      </w:r>
      <w:proofErr w:type="gramStart"/>
      <w:r w:rsidR="005E256A" w:rsidRPr="007D79B2">
        <w:rPr>
          <w:rFonts w:ascii="Arial" w:hAnsi="Arial" w:cs="Arial"/>
          <w:lang w:val="en-GB" w:eastAsia="en-GB"/>
        </w:rPr>
        <w:t>machine readable</w:t>
      </w:r>
      <w:proofErr w:type="gramEnd"/>
      <w:r w:rsidR="005E256A" w:rsidRPr="007D79B2">
        <w:rPr>
          <w:rFonts w:ascii="Arial" w:hAnsi="Arial" w:cs="Arial"/>
          <w:lang w:val="en-GB" w:eastAsia="en-GB"/>
        </w:rPr>
        <w:t xml:space="preserve"> format</w:t>
      </w:r>
      <w:r w:rsidRPr="007D79B2">
        <w:rPr>
          <w:rFonts w:ascii="Arial" w:hAnsi="Arial" w:cs="Arial"/>
          <w:lang w:val="en-GB" w:eastAsia="en-GB"/>
        </w:rPr>
        <w:t xml:space="preserve"> such as excel spreadsheet, csv file.</w:t>
      </w:r>
    </w:p>
    <w:p w:rsidR="007D79B2" w:rsidRPr="007D79B2" w:rsidRDefault="007D79B2" w:rsidP="007D79B2">
      <w:pPr>
        <w:rPr>
          <w:rFonts w:ascii="Arial" w:hAnsi="Arial" w:cs="Arial"/>
          <w:lang w:val="en-GB" w:eastAsia="en-GB"/>
        </w:rPr>
      </w:pPr>
    </w:p>
    <w:p w:rsidR="008D238D" w:rsidRDefault="00411CA2" w:rsidP="007D79B2">
      <w:pPr>
        <w:pStyle w:val="ListParagraph"/>
        <w:numPr>
          <w:ilvl w:val="0"/>
          <w:numId w:val="33"/>
        </w:numPr>
        <w:jc w:val="both"/>
        <w:rPr>
          <w:rFonts w:ascii="Arial" w:hAnsi="Arial" w:cs="Arial"/>
          <w:lang w:val="en-GB" w:eastAsia="en-GB"/>
        </w:rPr>
      </w:pPr>
      <w:r w:rsidRPr="007D79B2">
        <w:rPr>
          <w:rFonts w:ascii="Arial" w:hAnsi="Arial" w:cs="Arial"/>
          <w:u w:val="single"/>
          <w:lang w:val="en-GB" w:eastAsia="en-GB"/>
        </w:rPr>
        <w:t>Right to object to processing</w:t>
      </w:r>
    </w:p>
    <w:p w:rsidR="0020545E" w:rsidRPr="008D238D" w:rsidRDefault="008D238D" w:rsidP="008D238D">
      <w:pPr>
        <w:ind w:left="720"/>
        <w:jc w:val="both"/>
        <w:rPr>
          <w:rFonts w:ascii="Arial" w:hAnsi="Arial" w:cs="Arial"/>
          <w:lang w:val="en-GB" w:eastAsia="en-GB"/>
        </w:rPr>
      </w:pPr>
      <w:r w:rsidRPr="008D238D">
        <w:rPr>
          <w:rFonts w:ascii="Arial" w:hAnsi="Arial" w:cs="Arial"/>
          <w:lang w:val="en-GB" w:eastAsia="en-GB"/>
        </w:rPr>
        <w:t>Y</w:t>
      </w:r>
      <w:r w:rsidR="00411CA2" w:rsidRPr="008D238D">
        <w:rPr>
          <w:rFonts w:ascii="Arial" w:hAnsi="Arial" w:cs="Arial"/>
          <w:lang w:val="en-GB" w:eastAsia="en-GB"/>
        </w:rPr>
        <w:t xml:space="preserve">ou have the right to object to processing however </w:t>
      </w:r>
      <w:r w:rsidR="005E256A" w:rsidRPr="008D238D">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8D238D">
        <w:rPr>
          <w:rFonts w:ascii="Arial" w:hAnsi="Arial" w:cs="Arial"/>
          <w:lang w:val="en-GB" w:eastAsia="en-GB"/>
        </w:rPr>
        <w:t>.</w:t>
      </w:r>
    </w:p>
    <w:p w:rsidR="007D79B2" w:rsidRPr="007D79B2" w:rsidRDefault="007D79B2" w:rsidP="007D79B2">
      <w:pPr>
        <w:pStyle w:val="ListParagraph"/>
        <w:rPr>
          <w:rFonts w:ascii="Arial" w:hAnsi="Arial" w:cs="Arial"/>
          <w:lang w:val="en-GB" w:eastAsia="en-GB"/>
        </w:rPr>
      </w:pPr>
    </w:p>
    <w:p w:rsidR="0015096E" w:rsidRPr="0015096E" w:rsidRDefault="0015096E" w:rsidP="007D79B2">
      <w:pPr>
        <w:pStyle w:val="ListParagraph"/>
        <w:numPr>
          <w:ilvl w:val="0"/>
          <w:numId w:val="33"/>
        </w:numPr>
        <w:spacing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 xml:space="preserve">The NHS Constitution </w:t>
      </w:r>
      <w:proofErr w:type="gramStart"/>
      <w:r w:rsidRPr="001C10C6">
        <w:rPr>
          <w:rFonts w:ascii="Arial" w:hAnsi="Arial" w:cs="Arial"/>
          <w:lang w:val="en-US"/>
        </w:rPr>
        <w:t>states</w:t>
      </w:r>
      <w:proofErr w:type="gramEnd"/>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if information has to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If you wish to opt out of your data being processed and / or shared onwards with other organisations</w:t>
      </w:r>
      <w:r w:rsidR="0020545E" w:rsidRPr="001C10C6">
        <w:rPr>
          <w:rFonts w:ascii="Arial" w:hAnsi="Arial" w:cs="Arial"/>
          <w:lang w:val="en-US"/>
        </w:rPr>
        <w:t xml:space="preserve"> for purposes not related to your direct care</w:t>
      </w:r>
      <w:r w:rsidRPr="001C10C6">
        <w:rPr>
          <w:rFonts w:ascii="Arial" w:hAnsi="Arial" w:cs="Arial"/>
          <w:lang w:val="en-US"/>
        </w:rPr>
        <w:t>, please contact the surgery</w:t>
      </w:r>
      <w:r w:rsidR="007B1171">
        <w:rPr>
          <w:rFonts w:ascii="Arial" w:hAnsi="Arial" w:cs="Arial"/>
          <w:lang w:val="en-US"/>
        </w:rPr>
        <w:t>.</w:t>
      </w:r>
    </w:p>
    <w:p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you are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rsidR="007B1171" w:rsidRDefault="007B1171" w:rsidP="007B1171">
      <w:pPr>
        <w:pStyle w:val="ListParagraph"/>
        <w:jc w:val="both"/>
        <w:rPr>
          <w:rFonts w:ascii="Arial" w:hAnsi="Arial" w:cs="Arial"/>
          <w:lang w:val="en-GB" w:eastAsia="en-GB"/>
        </w:rPr>
      </w:pPr>
      <w:r>
        <w:rPr>
          <w:rFonts w:ascii="Arial" w:hAnsi="Arial" w:cs="Arial"/>
          <w:lang w:val="en-GB" w:eastAsia="en-GB"/>
        </w:rPr>
        <w:t>The Practice Manager</w:t>
      </w:r>
    </w:p>
    <w:p w:rsidR="007B1171" w:rsidRDefault="007B1171" w:rsidP="007B1171">
      <w:pPr>
        <w:pStyle w:val="ListParagraph"/>
        <w:jc w:val="both"/>
        <w:rPr>
          <w:rFonts w:ascii="Arial" w:hAnsi="Arial" w:cs="Arial"/>
          <w:lang w:val="en-GB" w:eastAsia="en-GB"/>
        </w:rPr>
      </w:pPr>
      <w:r>
        <w:rPr>
          <w:rFonts w:ascii="Arial" w:hAnsi="Arial" w:cs="Arial"/>
          <w:lang w:val="en-GB" w:eastAsia="en-GB"/>
        </w:rPr>
        <w:t>The Village Medical Centre</w:t>
      </w:r>
    </w:p>
    <w:p w:rsidR="007B1171" w:rsidRDefault="007B1171" w:rsidP="007B1171">
      <w:pPr>
        <w:pStyle w:val="ListParagraph"/>
        <w:jc w:val="both"/>
        <w:rPr>
          <w:rFonts w:ascii="Arial" w:hAnsi="Arial" w:cs="Arial"/>
          <w:lang w:val="en-GB" w:eastAsia="en-GB"/>
        </w:rPr>
      </w:pPr>
      <w:r>
        <w:rPr>
          <w:rFonts w:ascii="Arial" w:hAnsi="Arial" w:cs="Arial"/>
          <w:lang w:val="en-GB" w:eastAsia="en-GB"/>
        </w:rPr>
        <w:t>27 Grove Road</w:t>
      </w:r>
    </w:p>
    <w:p w:rsidR="007B1171" w:rsidRDefault="007B1171" w:rsidP="007B1171">
      <w:pPr>
        <w:pStyle w:val="ListParagraph"/>
        <w:jc w:val="both"/>
        <w:rPr>
          <w:rFonts w:ascii="Arial" w:hAnsi="Arial" w:cs="Arial"/>
          <w:lang w:val="en-GB" w:eastAsia="en-GB"/>
        </w:rPr>
      </w:pPr>
      <w:r>
        <w:rPr>
          <w:rFonts w:ascii="Arial" w:hAnsi="Arial" w:cs="Arial"/>
          <w:lang w:val="en-GB" w:eastAsia="en-GB"/>
        </w:rPr>
        <w:t>Wallasey</w:t>
      </w:r>
    </w:p>
    <w:p w:rsidR="007B1171" w:rsidRDefault="007B1171" w:rsidP="007B1171">
      <w:pPr>
        <w:pStyle w:val="ListParagraph"/>
        <w:jc w:val="both"/>
        <w:rPr>
          <w:rFonts w:ascii="Arial" w:hAnsi="Arial" w:cs="Arial"/>
          <w:lang w:val="en-GB" w:eastAsia="en-GB"/>
        </w:rPr>
      </w:pPr>
      <w:r>
        <w:rPr>
          <w:rFonts w:ascii="Arial" w:hAnsi="Arial" w:cs="Arial"/>
          <w:lang w:val="en-GB" w:eastAsia="en-GB"/>
        </w:rPr>
        <w:t>CH45 3HE</w:t>
      </w:r>
    </w:p>
    <w:p w:rsidR="007B1171" w:rsidRDefault="007B1171" w:rsidP="007B1171">
      <w:pPr>
        <w:pStyle w:val="ListParagraph"/>
        <w:jc w:val="both"/>
        <w:rPr>
          <w:rFonts w:ascii="Arial" w:hAnsi="Arial" w:cs="Arial"/>
          <w:lang w:val="en-GB" w:eastAsia="en-GB"/>
        </w:rPr>
      </w:pPr>
      <w:r>
        <w:rPr>
          <w:rFonts w:ascii="Arial" w:hAnsi="Arial" w:cs="Arial"/>
          <w:lang w:val="en-GB" w:eastAsia="en-GB"/>
        </w:rPr>
        <w:t>0151 691 1112</w:t>
      </w:r>
    </w:p>
    <w:p w:rsidR="007B1171" w:rsidRDefault="007B1171" w:rsidP="007B1171">
      <w:pPr>
        <w:pStyle w:val="ListParagraph"/>
        <w:jc w:val="both"/>
        <w:rPr>
          <w:rFonts w:ascii="Arial" w:hAnsi="Arial" w:cs="Arial"/>
          <w:lang w:val="en-GB" w:eastAsia="en-GB"/>
        </w:rPr>
      </w:pPr>
    </w:p>
    <w:p w:rsidR="007B1171" w:rsidRDefault="007B1171" w:rsidP="007B1171">
      <w:pPr>
        <w:spacing w:line="276" w:lineRule="auto"/>
        <w:ind w:left="720"/>
        <w:rPr>
          <w:rFonts w:ascii="Arial" w:eastAsiaTheme="minorHAnsi" w:hAnsi="Arial" w:cs="Arial"/>
          <w:sz w:val="21"/>
          <w:szCs w:val="21"/>
          <w:lang w:val="en-GB"/>
        </w:rPr>
      </w:pPr>
      <w:r>
        <w:rPr>
          <w:rFonts w:ascii="Arial" w:eastAsiaTheme="minorHAnsi" w:hAnsi="Arial" w:cs="Arial"/>
          <w:sz w:val="21"/>
          <w:szCs w:val="21"/>
          <w:lang w:val="en-GB"/>
        </w:rPr>
        <w:t>DPO</w:t>
      </w:r>
    </w:p>
    <w:p w:rsidR="007B1171" w:rsidRPr="007B1171" w:rsidRDefault="007B1171" w:rsidP="007B1171">
      <w:pPr>
        <w:spacing w:line="276" w:lineRule="auto"/>
        <w:ind w:left="720"/>
        <w:rPr>
          <w:rFonts w:ascii="Arial" w:eastAsiaTheme="minorHAnsi" w:hAnsi="Arial" w:cs="Arial"/>
          <w:sz w:val="21"/>
          <w:szCs w:val="21"/>
          <w:lang w:val="en-GB"/>
        </w:rPr>
      </w:pPr>
      <w:r w:rsidRPr="007B1171">
        <w:rPr>
          <w:rFonts w:ascii="Arial" w:eastAsiaTheme="minorHAnsi" w:hAnsi="Arial" w:cs="Arial"/>
          <w:sz w:val="21"/>
          <w:szCs w:val="21"/>
          <w:lang w:val="en-GB"/>
        </w:rPr>
        <w:t xml:space="preserve">Mid Mersey Digital Alliance </w:t>
      </w:r>
    </w:p>
    <w:p w:rsidR="007B1171" w:rsidRPr="007B1171" w:rsidRDefault="007B1171" w:rsidP="007B1171">
      <w:pPr>
        <w:spacing w:line="276" w:lineRule="auto"/>
        <w:ind w:left="720"/>
        <w:rPr>
          <w:rFonts w:ascii="Arial" w:eastAsiaTheme="minorHAnsi" w:hAnsi="Arial" w:cs="Arial"/>
          <w:sz w:val="21"/>
          <w:szCs w:val="21"/>
          <w:lang w:val="en-GB"/>
        </w:rPr>
      </w:pPr>
      <w:r w:rsidRPr="007B1171">
        <w:rPr>
          <w:rFonts w:ascii="Arial" w:eastAsiaTheme="minorHAnsi" w:hAnsi="Arial" w:cs="Arial"/>
          <w:sz w:val="21"/>
          <w:szCs w:val="21"/>
          <w:lang w:val="en-GB"/>
        </w:rPr>
        <w:t>Jubilee Court</w:t>
      </w:r>
    </w:p>
    <w:p w:rsidR="007B1171" w:rsidRPr="007B1171" w:rsidRDefault="007B1171" w:rsidP="007B1171">
      <w:pPr>
        <w:spacing w:line="276" w:lineRule="auto"/>
        <w:ind w:left="720"/>
        <w:rPr>
          <w:rFonts w:ascii="Arial" w:eastAsiaTheme="minorHAnsi" w:hAnsi="Arial" w:cs="Arial"/>
          <w:sz w:val="21"/>
          <w:szCs w:val="21"/>
          <w:lang w:val="en-GB"/>
        </w:rPr>
      </w:pPr>
      <w:r w:rsidRPr="007B1171">
        <w:rPr>
          <w:rFonts w:ascii="Arial" w:eastAsiaTheme="minorHAnsi" w:hAnsi="Arial" w:cs="Arial"/>
          <w:sz w:val="21"/>
          <w:szCs w:val="21"/>
          <w:lang w:val="en-GB"/>
        </w:rPr>
        <w:t>Academy Site</w:t>
      </w:r>
    </w:p>
    <w:p w:rsidR="007B1171" w:rsidRPr="007B1171" w:rsidRDefault="007B1171" w:rsidP="007B1171">
      <w:pPr>
        <w:spacing w:line="276" w:lineRule="auto"/>
        <w:ind w:left="720"/>
        <w:rPr>
          <w:rFonts w:ascii="Arial" w:eastAsiaTheme="minorHAnsi" w:hAnsi="Arial" w:cs="Arial"/>
          <w:sz w:val="21"/>
          <w:szCs w:val="21"/>
          <w:lang w:val="en-GB"/>
        </w:rPr>
      </w:pPr>
      <w:r w:rsidRPr="007B1171">
        <w:rPr>
          <w:rFonts w:ascii="Arial" w:eastAsiaTheme="minorHAnsi" w:hAnsi="Arial" w:cs="Arial"/>
          <w:sz w:val="21"/>
          <w:szCs w:val="21"/>
          <w:lang w:val="en-GB"/>
        </w:rPr>
        <w:t>Waterside</w:t>
      </w:r>
    </w:p>
    <w:p w:rsidR="007B1171" w:rsidRPr="007B1171" w:rsidRDefault="007B1171" w:rsidP="007B1171">
      <w:pPr>
        <w:spacing w:line="276" w:lineRule="auto"/>
        <w:ind w:left="720"/>
        <w:rPr>
          <w:rFonts w:ascii="Arial" w:eastAsiaTheme="minorHAnsi" w:hAnsi="Arial" w:cs="Arial"/>
          <w:sz w:val="21"/>
          <w:szCs w:val="21"/>
          <w:lang w:val="en-GB"/>
        </w:rPr>
      </w:pPr>
      <w:r w:rsidRPr="007B1171">
        <w:rPr>
          <w:rFonts w:ascii="Arial" w:eastAsiaTheme="minorHAnsi" w:hAnsi="Arial" w:cs="Arial"/>
          <w:sz w:val="21"/>
          <w:szCs w:val="21"/>
          <w:lang w:val="en-GB"/>
        </w:rPr>
        <w:t>St Helens</w:t>
      </w:r>
    </w:p>
    <w:p w:rsidR="007B1171" w:rsidRPr="007B1171" w:rsidRDefault="007B1171" w:rsidP="007B1171">
      <w:pPr>
        <w:spacing w:line="276" w:lineRule="auto"/>
        <w:ind w:left="720"/>
        <w:rPr>
          <w:rFonts w:ascii="Arial" w:eastAsiaTheme="minorHAnsi" w:hAnsi="Arial" w:cs="Arial"/>
          <w:sz w:val="21"/>
          <w:szCs w:val="21"/>
          <w:lang w:val="en-GB"/>
        </w:rPr>
      </w:pPr>
      <w:r w:rsidRPr="007B1171">
        <w:rPr>
          <w:rFonts w:ascii="Arial" w:eastAsiaTheme="minorHAnsi" w:hAnsi="Arial" w:cs="Arial"/>
          <w:sz w:val="21"/>
          <w:szCs w:val="21"/>
          <w:lang w:val="en-GB"/>
        </w:rPr>
        <w:t>WA9 1TT</w:t>
      </w:r>
    </w:p>
    <w:p w:rsidR="007B1171" w:rsidRPr="007B1171" w:rsidRDefault="007B1171" w:rsidP="007B1171">
      <w:pPr>
        <w:spacing w:line="276" w:lineRule="auto"/>
        <w:ind w:left="720"/>
        <w:rPr>
          <w:rFonts w:ascii="Arial" w:eastAsiaTheme="minorHAnsi" w:hAnsi="Arial" w:cs="Arial"/>
          <w:sz w:val="21"/>
          <w:szCs w:val="21"/>
          <w:lang w:val="en-GB"/>
        </w:rPr>
      </w:pPr>
      <w:r w:rsidRPr="007B1171">
        <w:rPr>
          <w:rFonts w:ascii="Arial" w:eastAsiaTheme="minorHAnsi" w:hAnsi="Arial" w:cs="Arial"/>
          <w:sz w:val="21"/>
          <w:szCs w:val="21"/>
          <w:lang w:val="en-GB"/>
        </w:rPr>
        <w:t>IG@midmerseyda.nhs.uk</w:t>
      </w:r>
    </w:p>
    <w:p w:rsidR="007B1171" w:rsidRPr="007B1171" w:rsidRDefault="007B1171" w:rsidP="007B1171">
      <w:pPr>
        <w:pStyle w:val="NoSpacing"/>
        <w:ind w:left="720"/>
        <w:jc w:val="both"/>
        <w:rPr>
          <w:rFonts w:ascii="Arial" w:eastAsiaTheme="minorHAnsi" w:hAnsi="Arial" w:cs="Arial"/>
          <w:sz w:val="21"/>
          <w:szCs w:val="21"/>
          <w:lang w:val="en-GB"/>
        </w:rPr>
      </w:pPr>
      <w:r w:rsidRPr="007B1171">
        <w:rPr>
          <w:rFonts w:ascii="Arial" w:eastAsiaTheme="minorHAnsi" w:hAnsi="Arial" w:cs="Arial"/>
          <w:sz w:val="21"/>
          <w:szCs w:val="21"/>
          <w:lang w:val="en-GB"/>
        </w:rPr>
        <w:t>0151 676 5639</w:t>
      </w:r>
    </w:p>
    <w:p w:rsidR="007B1171" w:rsidRDefault="007B1171" w:rsidP="007B1171">
      <w:pPr>
        <w:pStyle w:val="ListParagraph"/>
        <w:jc w:val="both"/>
        <w:rPr>
          <w:rFonts w:ascii="Arial" w:hAnsi="Arial" w:cs="Arial"/>
          <w:lang w:val="en-GB" w:eastAsia="en-GB"/>
        </w:rPr>
      </w:pPr>
    </w:p>
    <w:p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26"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rsidR="007B1171" w:rsidRDefault="007B1171" w:rsidP="007B1171">
      <w:pPr>
        <w:rPr>
          <w:rFonts w:ascii="Arial" w:hAnsi="Arial" w:cs="Arial"/>
          <w:lang w:val="en-GB" w:eastAsia="en-GB"/>
        </w:rPr>
      </w:pPr>
      <w:r>
        <w:rPr>
          <w:rFonts w:ascii="Arial" w:hAnsi="Arial" w:cs="Arial"/>
          <w:lang w:val="en-GB" w:eastAsia="en-GB"/>
        </w:rPr>
        <w:t>TVMC</w:t>
      </w:r>
    </w:p>
    <w:p w:rsidR="007B1171" w:rsidRDefault="007B1171" w:rsidP="007B1171">
      <w:pPr>
        <w:rPr>
          <w:rFonts w:ascii="Arial" w:hAnsi="Arial" w:cs="Arial"/>
          <w:lang w:val="en-GB" w:eastAsia="en-GB"/>
        </w:rPr>
      </w:pPr>
      <w:r>
        <w:rPr>
          <w:rFonts w:ascii="Arial" w:hAnsi="Arial" w:cs="Arial"/>
          <w:lang w:val="en-GB" w:eastAsia="en-GB"/>
        </w:rPr>
        <w:t>Grove Road</w:t>
      </w:r>
    </w:p>
    <w:p w:rsidR="007B1171" w:rsidRDefault="007B1171" w:rsidP="007B1171">
      <w:pPr>
        <w:rPr>
          <w:rFonts w:ascii="Arial" w:hAnsi="Arial" w:cs="Arial"/>
          <w:lang w:val="en-GB" w:eastAsia="en-GB"/>
        </w:rPr>
      </w:pPr>
      <w:r>
        <w:rPr>
          <w:rFonts w:ascii="Arial" w:hAnsi="Arial" w:cs="Arial"/>
          <w:lang w:val="en-GB" w:eastAsia="en-GB"/>
        </w:rPr>
        <w:t>Wallasey</w:t>
      </w:r>
    </w:p>
    <w:p w:rsidR="007B1171" w:rsidRDefault="007B1171" w:rsidP="007B1171">
      <w:pPr>
        <w:rPr>
          <w:rFonts w:ascii="Arial" w:hAnsi="Arial" w:cs="Arial"/>
          <w:lang w:val="en-GB" w:eastAsia="en-GB"/>
        </w:rPr>
      </w:pPr>
      <w:r>
        <w:rPr>
          <w:rFonts w:ascii="Arial" w:hAnsi="Arial" w:cs="Arial"/>
          <w:lang w:val="en-GB" w:eastAsia="en-GB"/>
        </w:rPr>
        <w:t>Wirral</w:t>
      </w:r>
    </w:p>
    <w:p w:rsidR="007D79B2" w:rsidRPr="007D79B2" w:rsidRDefault="007B1171" w:rsidP="007B1171">
      <w:pPr>
        <w:rPr>
          <w:rFonts w:ascii="Arial" w:hAnsi="Arial" w:cs="Arial"/>
          <w:lang w:val="en-GB" w:eastAsia="en-GB"/>
        </w:rPr>
      </w:pPr>
      <w:r>
        <w:rPr>
          <w:rFonts w:ascii="Arial" w:hAnsi="Arial" w:cs="Arial"/>
          <w:lang w:val="en-GB" w:eastAsia="en-GB"/>
        </w:rPr>
        <w:t>CH45 3HE</w:t>
      </w:r>
    </w:p>
    <w:sectPr w:rsidR="007D79B2" w:rsidRPr="007D79B2" w:rsidSect="007D79B2">
      <w:headerReference w:type="default" r:id="rId27"/>
      <w:footerReference w:type="default" r:id="rId28"/>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C0C" w:rsidRDefault="00621C0C" w:rsidP="00BB4A7A">
      <w:r>
        <w:separator/>
      </w:r>
    </w:p>
  </w:endnote>
  <w:endnote w:type="continuationSeparator" w:id="0">
    <w:p w:rsidR="00621C0C" w:rsidRDefault="00621C0C"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5F8" w:rsidRPr="00827B37" w:rsidRDefault="00A765F8" w:rsidP="007B1171">
    <w:pPr>
      <w:pStyle w:val="Footer"/>
      <w:rPr>
        <w:rFonts w:ascii="Arial" w:hAnsi="Arial" w:cs="Arial"/>
        <w:color w:val="0070C0"/>
        <w:sz w:val="22"/>
        <w:szCs w:val="22"/>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8240" behindDoc="0" locked="0" layoutInCell="1" allowOverlap="1" wp14:anchorId="391F7360" wp14:editId="069A0C42">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4A53CF"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444F1A">
      <w:rPr>
        <w:rFonts w:ascii="Arial" w:hAnsi="Arial" w:cs="Arial"/>
        <w:i/>
        <w:color w:val="A6A6A6" w:themeColor="background1" w:themeShade="A6"/>
        <w:sz w:val="20"/>
        <w:szCs w:val="20"/>
      </w:rPr>
      <w:t>Privacy Notice</w:t>
    </w:r>
    <w:r w:rsidRPr="00827B37">
      <w:rPr>
        <w:rFonts w:ascii="Arial" w:hAnsi="Arial" w:cs="Arial"/>
        <w:color w:val="0070C0"/>
        <w:sz w:val="22"/>
        <w:szCs w:val="22"/>
      </w:rPr>
      <w:tab/>
    </w:r>
    <w:r w:rsidRPr="00827B37">
      <w:rPr>
        <w:rFonts w:ascii="Arial" w:hAnsi="Arial" w:cs="Arial"/>
        <w:color w:val="0070C0"/>
        <w:sz w:val="22"/>
        <w:szCs w:val="22"/>
      </w:rPr>
      <w:tab/>
    </w:r>
    <w:r w:rsidRPr="00EE3153">
      <w:rPr>
        <w:rFonts w:ascii="Arial" w:hAnsi="Arial" w:cs="Arial"/>
        <w:i/>
        <w:color w:val="A6A6A6" w:themeColor="background1" w:themeShade="A6"/>
        <w:sz w:val="20"/>
        <w:szCs w:val="20"/>
      </w:rPr>
      <w:t xml:space="preserve"> </w:t>
    </w:r>
    <w:proofErr w:type="spellStart"/>
    <w:r w:rsidRPr="00EE3153">
      <w:rPr>
        <w:rFonts w:ascii="Arial" w:hAnsi="Arial" w:cs="Arial"/>
        <w:i/>
        <w:color w:val="A6A6A6" w:themeColor="background1" w:themeShade="A6"/>
        <w:sz w:val="20"/>
        <w:szCs w:val="20"/>
      </w:rPr>
      <w:t>pg</w:t>
    </w:r>
    <w:proofErr w:type="spellEnd"/>
    <w:r w:rsidRPr="00EE3153">
      <w:rPr>
        <w:rFonts w:ascii="Arial" w:hAnsi="Arial" w:cs="Arial"/>
        <w:i/>
        <w:color w:val="A6A6A6" w:themeColor="background1" w:themeShade="A6"/>
        <w:sz w:val="20"/>
        <w:szCs w:val="20"/>
      </w:rPr>
      <w:t xml:space="preserve"> </w:t>
    </w:r>
    <w:r w:rsidRPr="00EE3153">
      <w:rPr>
        <w:rFonts w:ascii="Arial" w:hAnsi="Arial" w:cs="Arial"/>
        <w:i/>
        <w:color w:val="A6A6A6" w:themeColor="background1" w:themeShade="A6"/>
        <w:sz w:val="20"/>
        <w:szCs w:val="20"/>
      </w:rPr>
      <w:fldChar w:fldCharType="begin"/>
    </w:r>
    <w:r w:rsidRPr="00EE3153">
      <w:rPr>
        <w:rFonts w:ascii="Arial" w:hAnsi="Arial" w:cs="Arial"/>
        <w:i/>
        <w:color w:val="A6A6A6" w:themeColor="background1" w:themeShade="A6"/>
        <w:sz w:val="20"/>
        <w:szCs w:val="20"/>
      </w:rPr>
      <w:instrText xml:space="preserve"> PAGE   \* MERGEFORMAT </w:instrText>
    </w:r>
    <w:r w:rsidRPr="00EE3153">
      <w:rPr>
        <w:rFonts w:ascii="Arial" w:hAnsi="Arial" w:cs="Arial"/>
        <w:i/>
        <w:color w:val="A6A6A6" w:themeColor="background1" w:themeShade="A6"/>
        <w:sz w:val="20"/>
        <w:szCs w:val="20"/>
      </w:rPr>
      <w:fldChar w:fldCharType="separate"/>
    </w:r>
    <w:r w:rsidR="00A01ECA">
      <w:rPr>
        <w:rFonts w:ascii="Arial" w:hAnsi="Arial" w:cs="Arial"/>
        <w:i/>
        <w:noProof/>
        <w:color w:val="A6A6A6" w:themeColor="background1" w:themeShade="A6"/>
        <w:sz w:val="20"/>
        <w:szCs w:val="20"/>
      </w:rPr>
      <w:t>1</w:t>
    </w:r>
    <w:r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C0C" w:rsidRDefault="00621C0C" w:rsidP="00BB4A7A">
      <w:r>
        <w:separator/>
      </w:r>
    </w:p>
  </w:footnote>
  <w:footnote w:type="continuationSeparator" w:id="0">
    <w:p w:rsidR="00621C0C" w:rsidRDefault="00621C0C"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5F8" w:rsidRPr="00F53904" w:rsidRDefault="007B1171" w:rsidP="00EE3153">
    <w:pPr>
      <w:pStyle w:val="Header"/>
      <w:jc w:val="right"/>
      <w:rPr>
        <w:noProof/>
        <w:color w:val="A6A6A6" w:themeColor="background1" w:themeShade="A6"/>
        <w:lang w:val="en-GB" w:eastAsia="en-GB"/>
      </w:rPr>
    </w:pPr>
    <w:r>
      <w:rPr>
        <w:noProof/>
        <w:color w:val="A6A6A6" w:themeColor="background1" w:themeShade="A6"/>
        <w:lang w:val="en-GB" w:eastAsia="en-GB"/>
      </w:rPr>
      <w:t>The Village Medical Centre</w:t>
    </w:r>
  </w:p>
  <w:p w:rsidR="00A765F8" w:rsidRPr="001C10C6" w:rsidRDefault="007B6E4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Version </w:t>
    </w:r>
    <w:r w:rsidR="00F814AC">
      <w:rPr>
        <w:rFonts w:ascii="Arial" w:hAnsi="Arial" w:cs="Arial"/>
        <w:noProof/>
        <w:color w:val="808080" w:themeColor="background1" w:themeShade="80"/>
        <w:sz w:val="20"/>
        <w:szCs w:val="20"/>
        <w:lang w:val="en-GB" w:eastAsia="en-GB"/>
      </w:rPr>
      <w:t>3</w:t>
    </w:r>
    <w:r>
      <w:rPr>
        <w:rFonts w:ascii="Arial" w:hAnsi="Arial" w:cs="Arial"/>
        <w:noProof/>
        <w:color w:val="808080" w:themeColor="background1" w:themeShade="80"/>
        <w:sz w:val="20"/>
        <w:szCs w:val="20"/>
        <w:lang w:val="en-GB" w:eastAsia="en-GB"/>
      </w:rPr>
      <w:t xml:space="preserve"> – </w:t>
    </w:r>
    <w:r w:rsidR="004160B2">
      <w:rPr>
        <w:rFonts w:ascii="Arial" w:hAnsi="Arial" w:cs="Arial"/>
        <w:noProof/>
        <w:color w:val="808080" w:themeColor="background1" w:themeShade="80"/>
        <w:sz w:val="20"/>
        <w:szCs w:val="20"/>
        <w:lang w:val="en-GB" w:eastAsia="en-GB"/>
      </w:rPr>
      <w:t>January 202</w:t>
    </w:r>
    <w:r w:rsidR="007B1171">
      <w:rPr>
        <w:rFonts w:ascii="Arial" w:hAnsi="Arial" w:cs="Arial"/>
        <w:noProof/>
        <w:color w:val="808080" w:themeColor="background1" w:themeShade="80"/>
        <w:sz w:val="20"/>
        <w:szCs w:val="20"/>
        <w:lang w:val="en-GB" w:eastAsia="en-G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309195">
    <w:abstractNumId w:val="0"/>
  </w:num>
  <w:num w:numId="2" w16cid:durableId="1092435675">
    <w:abstractNumId w:val="10"/>
  </w:num>
  <w:num w:numId="3" w16cid:durableId="1629314959">
    <w:abstractNumId w:val="8"/>
  </w:num>
  <w:num w:numId="4" w16cid:durableId="1391079205">
    <w:abstractNumId w:val="7"/>
  </w:num>
  <w:num w:numId="5" w16cid:durableId="2028675936">
    <w:abstractNumId w:val="6"/>
  </w:num>
  <w:num w:numId="6" w16cid:durableId="278028224">
    <w:abstractNumId w:val="5"/>
  </w:num>
  <w:num w:numId="7" w16cid:durableId="1854104791">
    <w:abstractNumId w:val="9"/>
  </w:num>
  <w:num w:numId="8" w16cid:durableId="2070179753">
    <w:abstractNumId w:val="4"/>
  </w:num>
  <w:num w:numId="9" w16cid:durableId="2134596610">
    <w:abstractNumId w:val="3"/>
  </w:num>
  <w:num w:numId="10" w16cid:durableId="1309169509">
    <w:abstractNumId w:val="2"/>
  </w:num>
  <w:num w:numId="11" w16cid:durableId="1464687613">
    <w:abstractNumId w:val="1"/>
  </w:num>
  <w:num w:numId="12" w16cid:durableId="1850637322">
    <w:abstractNumId w:val="11"/>
  </w:num>
  <w:num w:numId="13" w16cid:durableId="2141532578">
    <w:abstractNumId w:val="39"/>
  </w:num>
  <w:num w:numId="14" w16cid:durableId="986974988">
    <w:abstractNumId w:val="28"/>
  </w:num>
  <w:num w:numId="15" w16cid:durableId="1507862954">
    <w:abstractNumId w:val="18"/>
  </w:num>
  <w:num w:numId="16" w16cid:durableId="741216576">
    <w:abstractNumId w:val="23"/>
  </w:num>
  <w:num w:numId="17" w16cid:durableId="1535189655">
    <w:abstractNumId w:val="21"/>
  </w:num>
  <w:num w:numId="18" w16cid:durableId="616913065">
    <w:abstractNumId w:val="24"/>
  </w:num>
  <w:num w:numId="19" w16cid:durableId="1375502292">
    <w:abstractNumId w:val="34"/>
  </w:num>
  <w:num w:numId="20" w16cid:durableId="1352605605">
    <w:abstractNumId w:val="29"/>
  </w:num>
  <w:num w:numId="21" w16cid:durableId="1485123561">
    <w:abstractNumId w:val="25"/>
  </w:num>
  <w:num w:numId="22" w16cid:durableId="787357626">
    <w:abstractNumId w:val="13"/>
  </w:num>
  <w:num w:numId="23" w16cid:durableId="2055347163">
    <w:abstractNumId w:val="41"/>
  </w:num>
  <w:num w:numId="24" w16cid:durableId="1786847422">
    <w:abstractNumId w:val="14"/>
  </w:num>
  <w:num w:numId="25" w16cid:durableId="564147904">
    <w:abstractNumId w:val="27"/>
  </w:num>
  <w:num w:numId="26" w16cid:durableId="1262493899">
    <w:abstractNumId w:val="15"/>
  </w:num>
  <w:num w:numId="27" w16cid:durableId="399249437">
    <w:abstractNumId w:val="32"/>
  </w:num>
  <w:num w:numId="28" w16cid:durableId="437146306">
    <w:abstractNumId w:val="43"/>
  </w:num>
  <w:num w:numId="29" w16cid:durableId="2046250223">
    <w:abstractNumId w:val="40"/>
  </w:num>
  <w:num w:numId="30" w16cid:durableId="344671143">
    <w:abstractNumId w:val="37"/>
  </w:num>
  <w:num w:numId="31" w16cid:durableId="845483450">
    <w:abstractNumId w:val="22"/>
  </w:num>
  <w:num w:numId="32" w16cid:durableId="575550498">
    <w:abstractNumId w:val="20"/>
  </w:num>
  <w:num w:numId="33" w16cid:durableId="694306138">
    <w:abstractNumId w:val="12"/>
  </w:num>
  <w:num w:numId="34" w16cid:durableId="2099018590">
    <w:abstractNumId w:val="17"/>
  </w:num>
  <w:num w:numId="35" w16cid:durableId="540944228">
    <w:abstractNumId w:val="35"/>
  </w:num>
  <w:num w:numId="36" w16cid:durableId="82997858">
    <w:abstractNumId w:val="31"/>
  </w:num>
  <w:num w:numId="37" w16cid:durableId="1798834188">
    <w:abstractNumId w:val="16"/>
  </w:num>
  <w:num w:numId="38" w16cid:durableId="1128817150">
    <w:abstractNumId w:val="36"/>
  </w:num>
  <w:num w:numId="39" w16cid:durableId="1206912134">
    <w:abstractNumId w:val="38"/>
  </w:num>
  <w:num w:numId="40" w16cid:durableId="521550821">
    <w:abstractNumId w:val="33"/>
  </w:num>
  <w:num w:numId="41" w16cid:durableId="1073895492">
    <w:abstractNumId w:val="26"/>
  </w:num>
  <w:num w:numId="42" w16cid:durableId="28189346">
    <w:abstractNumId w:val="42"/>
  </w:num>
  <w:num w:numId="43" w16cid:durableId="572550073">
    <w:abstractNumId w:val="30"/>
  </w:num>
  <w:num w:numId="44" w16cid:durableId="11078873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013EF"/>
    <w:rsid w:val="00026070"/>
    <w:rsid w:val="00026819"/>
    <w:rsid w:val="00053DF9"/>
    <w:rsid w:val="0008442E"/>
    <w:rsid w:val="00084993"/>
    <w:rsid w:val="000C2DB1"/>
    <w:rsid w:val="00117944"/>
    <w:rsid w:val="001264BE"/>
    <w:rsid w:val="00131AB5"/>
    <w:rsid w:val="0014680E"/>
    <w:rsid w:val="0015096E"/>
    <w:rsid w:val="00157FD9"/>
    <w:rsid w:val="00164184"/>
    <w:rsid w:val="00172786"/>
    <w:rsid w:val="00187371"/>
    <w:rsid w:val="001A2F09"/>
    <w:rsid w:val="001C10C6"/>
    <w:rsid w:val="001C3CBC"/>
    <w:rsid w:val="001E072B"/>
    <w:rsid w:val="001F7727"/>
    <w:rsid w:val="001F7A3D"/>
    <w:rsid w:val="002018D1"/>
    <w:rsid w:val="0020545E"/>
    <w:rsid w:val="002063C8"/>
    <w:rsid w:val="00210814"/>
    <w:rsid w:val="00213616"/>
    <w:rsid w:val="00217531"/>
    <w:rsid w:val="0022391D"/>
    <w:rsid w:val="00252C95"/>
    <w:rsid w:val="00257715"/>
    <w:rsid w:val="00266EFE"/>
    <w:rsid w:val="002C3FBA"/>
    <w:rsid w:val="002E5608"/>
    <w:rsid w:val="002F1D5C"/>
    <w:rsid w:val="003047FB"/>
    <w:rsid w:val="0036647B"/>
    <w:rsid w:val="00392E0F"/>
    <w:rsid w:val="003A2030"/>
    <w:rsid w:val="003B29EA"/>
    <w:rsid w:val="004018B6"/>
    <w:rsid w:val="00411CA2"/>
    <w:rsid w:val="004160B2"/>
    <w:rsid w:val="004353D6"/>
    <w:rsid w:val="00442EA4"/>
    <w:rsid w:val="00444F1A"/>
    <w:rsid w:val="00465245"/>
    <w:rsid w:val="00472F3B"/>
    <w:rsid w:val="004752DF"/>
    <w:rsid w:val="00481375"/>
    <w:rsid w:val="00485A73"/>
    <w:rsid w:val="00495932"/>
    <w:rsid w:val="004C0E83"/>
    <w:rsid w:val="004D2CAF"/>
    <w:rsid w:val="004E1FBD"/>
    <w:rsid w:val="004E7AE4"/>
    <w:rsid w:val="00524233"/>
    <w:rsid w:val="00534297"/>
    <w:rsid w:val="005544F9"/>
    <w:rsid w:val="00570AF8"/>
    <w:rsid w:val="005872E6"/>
    <w:rsid w:val="005B028C"/>
    <w:rsid w:val="005B54E6"/>
    <w:rsid w:val="005C190C"/>
    <w:rsid w:val="005E256A"/>
    <w:rsid w:val="00621C0C"/>
    <w:rsid w:val="00624F0D"/>
    <w:rsid w:val="006307C2"/>
    <w:rsid w:val="0066141D"/>
    <w:rsid w:val="0066583B"/>
    <w:rsid w:val="006C28C9"/>
    <w:rsid w:val="006D28E6"/>
    <w:rsid w:val="006E10A8"/>
    <w:rsid w:val="006E6F98"/>
    <w:rsid w:val="007044DB"/>
    <w:rsid w:val="00716B10"/>
    <w:rsid w:val="0072424B"/>
    <w:rsid w:val="007413BD"/>
    <w:rsid w:val="00747CEC"/>
    <w:rsid w:val="007662C4"/>
    <w:rsid w:val="00780FDB"/>
    <w:rsid w:val="007A5C1E"/>
    <w:rsid w:val="007B1171"/>
    <w:rsid w:val="007B6E46"/>
    <w:rsid w:val="007D6C17"/>
    <w:rsid w:val="007D79B2"/>
    <w:rsid w:val="007F6440"/>
    <w:rsid w:val="00800CBA"/>
    <w:rsid w:val="00814FB4"/>
    <w:rsid w:val="00827B37"/>
    <w:rsid w:val="00871399"/>
    <w:rsid w:val="00895AFF"/>
    <w:rsid w:val="008A6D07"/>
    <w:rsid w:val="008D238D"/>
    <w:rsid w:val="008E243D"/>
    <w:rsid w:val="008E45E3"/>
    <w:rsid w:val="008F49CA"/>
    <w:rsid w:val="008F5744"/>
    <w:rsid w:val="009330C2"/>
    <w:rsid w:val="009417ED"/>
    <w:rsid w:val="00961C24"/>
    <w:rsid w:val="009A124E"/>
    <w:rsid w:val="009B3315"/>
    <w:rsid w:val="009B575E"/>
    <w:rsid w:val="009E2CA0"/>
    <w:rsid w:val="009E64E6"/>
    <w:rsid w:val="009F4AF1"/>
    <w:rsid w:val="00A01ECA"/>
    <w:rsid w:val="00A113FA"/>
    <w:rsid w:val="00A16D10"/>
    <w:rsid w:val="00A52235"/>
    <w:rsid w:val="00A618BC"/>
    <w:rsid w:val="00A75DFD"/>
    <w:rsid w:val="00A765F8"/>
    <w:rsid w:val="00A86A8A"/>
    <w:rsid w:val="00AB417E"/>
    <w:rsid w:val="00AC78D4"/>
    <w:rsid w:val="00AD4007"/>
    <w:rsid w:val="00B17D87"/>
    <w:rsid w:val="00B31554"/>
    <w:rsid w:val="00B35D96"/>
    <w:rsid w:val="00B563B4"/>
    <w:rsid w:val="00B63BB1"/>
    <w:rsid w:val="00B72F20"/>
    <w:rsid w:val="00BA2A56"/>
    <w:rsid w:val="00BB1F50"/>
    <w:rsid w:val="00BB4A7A"/>
    <w:rsid w:val="00BB73FA"/>
    <w:rsid w:val="00BC619F"/>
    <w:rsid w:val="00BF1BE4"/>
    <w:rsid w:val="00BF6E08"/>
    <w:rsid w:val="00C10C74"/>
    <w:rsid w:val="00C1655F"/>
    <w:rsid w:val="00C17657"/>
    <w:rsid w:val="00C20B04"/>
    <w:rsid w:val="00C24D11"/>
    <w:rsid w:val="00C26262"/>
    <w:rsid w:val="00C51FD0"/>
    <w:rsid w:val="00C54FF7"/>
    <w:rsid w:val="00C7278E"/>
    <w:rsid w:val="00C731AD"/>
    <w:rsid w:val="00C82D80"/>
    <w:rsid w:val="00CA2FB7"/>
    <w:rsid w:val="00CA7E2A"/>
    <w:rsid w:val="00CC0F64"/>
    <w:rsid w:val="00CD3A00"/>
    <w:rsid w:val="00CD6F14"/>
    <w:rsid w:val="00D1103C"/>
    <w:rsid w:val="00D14259"/>
    <w:rsid w:val="00D429B6"/>
    <w:rsid w:val="00D53264"/>
    <w:rsid w:val="00D707C1"/>
    <w:rsid w:val="00D81EA2"/>
    <w:rsid w:val="00D9526C"/>
    <w:rsid w:val="00DD21E6"/>
    <w:rsid w:val="00DD7500"/>
    <w:rsid w:val="00DE7ED4"/>
    <w:rsid w:val="00E32E31"/>
    <w:rsid w:val="00E5162C"/>
    <w:rsid w:val="00E71415"/>
    <w:rsid w:val="00EA060A"/>
    <w:rsid w:val="00ED2724"/>
    <w:rsid w:val="00EE3153"/>
    <w:rsid w:val="00EE7516"/>
    <w:rsid w:val="00F272D9"/>
    <w:rsid w:val="00F32726"/>
    <w:rsid w:val="00F35112"/>
    <w:rsid w:val="00F53904"/>
    <w:rsid w:val="00F5746A"/>
    <w:rsid w:val="00F60668"/>
    <w:rsid w:val="00F814AC"/>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63BA18"/>
  <w15:docId w15:val="{D6B363A7-7ACD-4B56-B7B0-5E700417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92572/2900774_InfoGovernance_accv2.pdf" TargetMode="External"/><Relationship Id="rId13" Type="http://schemas.openxmlformats.org/officeDocument/2006/relationships/hyperlink" Target="https://www.nhs.uk/your-nhs-data-matters/" TargetMode="External"/><Relationship Id="rId18" Type="http://schemas.openxmlformats.org/officeDocument/2006/relationships/hyperlink" Target="http://www.nhs.uk/your-nhs-data-matters" TargetMode="External"/><Relationship Id="rId26" Type="http://schemas.openxmlformats.org/officeDocument/2006/relationships/hyperlink" Target="http://www.ico.org.uk/concerns" TargetMode="External"/><Relationship Id="rId3" Type="http://schemas.openxmlformats.org/officeDocument/2006/relationships/styles" Target="styles.xml"/><Relationship Id="rId21" Type="http://schemas.openxmlformats.org/officeDocument/2006/relationships/hyperlink" Target="https://digital.nhs.uk/data-and-information/data-collections-and-data-sets/data-collections/general-practice-data-for-planning-and-research/transparency-notice" TargetMode="External"/><Relationship Id="rId7" Type="http://schemas.openxmlformats.org/officeDocument/2006/relationships/endnotes" Target="endnotes.xml"/><Relationship Id="rId12" Type="http://schemas.openxmlformats.org/officeDocument/2006/relationships/hyperlink" Target="https://www.nhs.uk/your-nhs-data-matters/" TargetMode="External"/><Relationship Id="rId17" Type="http://schemas.openxmlformats.org/officeDocument/2006/relationships/image" Target="media/image2.png"/><Relationship Id="rId25" Type="http://schemas.openxmlformats.org/officeDocument/2006/relationships/hyperlink" Target="https://www.nhsx.nhs.uk/information-governance/guidance/records-management-code/" TargetMode="Externa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hyperlink" Target="https://understandingpatientdata.org.uk/what-you-need-kno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hra-guidance-general-data-protection-regul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5" Type="http://schemas.openxmlformats.org/officeDocument/2006/relationships/webSettings" Target="webSettings.xml"/><Relationship Id="rId15" Type="http://schemas.openxmlformats.org/officeDocument/2006/relationships/hyperlink" Target="https://www.nhs.uk/your-nhs-data-matters/where-your-choice-does-not-apply/" TargetMode="External"/><Relationship Id="rId23" Type="http://schemas.openxmlformats.org/officeDocument/2006/relationships/hyperlink" Target="https://www.nhs.uk/your-nhs-data-matters/" TargetMode="External"/><Relationship Id="rId28" Type="http://schemas.openxmlformats.org/officeDocument/2006/relationships/footer" Target="footer1.xml"/><Relationship Id="rId10" Type="http://schemas.openxmlformats.org/officeDocument/2006/relationships/hyperlink" Target="https://www.nhs.uk/your-nhs-data-matters/" TargetMode="External"/><Relationship Id="rId19" Type="http://schemas.openxmlformats.org/officeDocument/2006/relationships/hyperlink" Target="https://www.hra.nhs.uk/information-about-patients/" TargetMode="External"/><Relationship Id="rId4" Type="http://schemas.openxmlformats.org/officeDocument/2006/relationships/settings" Target="settings.xml"/><Relationship Id="rId9" Type="http://schemas.openxmlformats.org/officeDocument/2006/relationships/hyperlink" Target="https://understandingpatientdata.org.uk/what-you-need-know" TargetMode="External"/><Relationship Id="rId14" Type="http://schemas.openxmlformats.org/officeDocument/2006/relationships/image" Target="media/image1.png"/><Relationship Id="rId22" Type="http://schemas.openxmlformats.org/officeDocument/2006/relationships/hyperlink" Target="https://nhs-prod.global.ssl.fastly.net/binaries/content/assets/website-assets/data-and-information/data-collections/general-practice-data-for-planning-and-research/type-1-opt-out-form.docx"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57AA-DF4D-4C8F-A561-E6A8A0E3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5727</Words>
  <Characters>32650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38301</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COURTENAY, Alan (THE VILLAGE MEDICAL CENTRE - N85620)</cp:lastModifiedBy>
  <cp:revision>1</cp:revision>
  <dcterms:created xsi:type="dcterms:W3CDTF">2025-06-25T15:36:00Z</dcterms:created>
  <dcterms:modified xsi:type="dcterms:W3CDTF">2025-06-25T15:36:00Z</dcterms:modified>
</cp:coreProperties>
</file>